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8DCBB6" w14:textId="1F722B93" w:rsidR="00687B88" w:rsidRDefault="00687B88" w:rsidP="00687B88">
      <w:pPr>
        <w:tabs>
          <w:tab w:val="center" w:pos="4536"/>
          <w:tab w:val="right" w:pos="8280"/>
          <w:tab w:val="right" w:pos="9781"/>
        </w:tabs>
        <w:ind w:right="-58"/>
        <w:rPr>
          <w:rFonts w:ascii="Arial" w:hAnsi="Arial" w:cs="Arial"/>
          <w:b/>
          <w:bCs/>
          <w:sz w:val="28"/>
        </w:rPr>
      </w:pPr>
      <w:bookmarkStart w:id="0" w:name="OLE_LINK6"/>
      <w:bookmarkStart w:id="1" w:name="OLE_LINK7"/>
      <w:r>
        <w:rPr>
          <w:rFonts w:ascii="Arial" w:hAnsi="Arial" w:cs="Arial"/>
          <w:b/>
          <w:bCs/>
          <w:sz w:val="28"/>
        </w:rPr>
        <w:t>3GPP TSG RAN WG1 Meeting #8</w:t>
      </w:r>
      <w:r>
        <w:rPr>
          <w:rFonts w:ascii="Arial" w:eastAsia="MS Mincho" w:hAnsi="Arial" w:cs="Arial"/>
          <w:b/>
          <w:bCs/>
          <w:sz w:val="28"/>
          <w:lang w:eastAsia="ja-JP"/>
        </w:rPr>
        <w:t>8</w:t>
      </w:r>
      <w:r>
        <w:rPr>
          <w:rFonts w:ascii="Arial" w:hAnsi="Arial" w:cs="Arial"/>
          <w:b/>
          <w:bCs/>
          <w:sz w:val="28"/>
        </w:rPr>
        <w:t xml:space="preserve">                 </w:t>
      </w:r>
      <w:r>
        <w:rPr>
          <w:rFonts w:ascii="Arial" w:eastAsia="MS Mincho" w:hAnsi="Arial" w:cs="Arial"/>
          <w:b/>
          <w:bCs/>
          <w:sz w:val="28"/>
          <w:lang w:eastAsia="ja-JP"/>
        </w:rPr>
        <w:t xml:space="preserve">                             </w:t>
      </w:r>
      <w:r w:rsidR="005F363C" w:rsidRPr="005F363C">
        <w:rPr>
          <w:rFonts w:ascii="Arial" w:hAnsi="Arial" w:cs="Arial"/>
          <w:b/>
          <w:bCs/>
          <w:sz w:val="28"/>
        </w:rPr>
        <w:t>R1-1702551</w:t>
      </w:r>
      <w:bookmarkStart w:id="2" w:name="_GoBack"/>
      <w:bookmarkEnd w:id="2"/>
    </w:p>
    <w:p w14:paraId="5ACCB2F9" w14:textId="77777777" w:rsidR="00687B88" w:rsidRDefault="00687B88" w:rsidP="00687B8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Pr>
          <w:rFonts w:ascii="Arial" w:hAnsi="Arial" w:cs="Arial"/>
          <w:b/>
          <w:bCs/>
          <w:sz w:val="28"/>
        </w:rPr>
        <w:t xml:space="preserve">, </w:t>
      </w:r>
      <w:r>
        <w:rPr>
          <w:rFonts w:ascii="Arial" w:eastAsia="MS Mincho" w:hAnsi="Arial" w:cs="Arial"/>
          <w:b/>
          <w:bCs/>
          <w:sz w:val="28"/>
          <w:lang w:eastAsia="ja-JP"/>
        </w:rPr>
        <w:t>Greece</w:t>
      </w:r>
      <w:r>
        <w:rPr>
          <w:rFonts w:ascii="Arial" w:hAnsi="Arial" w:cs="Arial"/>
          <w:b/>
          <w:bCs/>
          <w:sz w:val="28"/>
        </w:rPr>
        <w:t xml:space="preserve"> 1</w:t>
      </w:r>
      <w:r>
        <w:rPr>
          <w:rFonts w:ascii="Arial" w:eastAsia="MS Mincho" w:hAnsi="Arial" w:cs="Arial"/>
          <w:b/>
          <w:bCs/>
          <w:sz w:val="28"/>
          <w:lang w:eastAsia="ja-JP"/>
        </w:rPr>
        <w:t>3</w:t>
      </w:r>
      <w:r>
        <w:rPr>
          <w:rFonts w:ascii="Arial" w:hAnsi="Arial" w:cs="Arial"/>
          <w:b/>
          <w:bCs/>
          <w:sz w:val="28"/>
          <w:vertAlign w:val="superscript"/>
        </w:rPr>
        <w:t>th</w:t>
      </w:r>
      <w:r>
        <w:rPr>
          <w:rFonts w:ascii="Arial" w:hAnsi="Arial" w:cs="Arial"/>
          <w:b/>
          <w:bCs/>
          <w:sz w:val="28"/>
        </w:rPr>
        <w:t xml:space="preserve"> - 1</w:t>
      </w:r>
      <w:r>
        <w:rPr>
          <w:rFonts w:ascii="Arial" w:eastAsia="MS Mincho" w:hAnsi="Arial" w:cs="Arial"/>
          <w:b/>
          <w:bCs/>
          <w:sz w:val="28"/>
          <w:lang w:eastAsia="ja-JP"/>
        </w:rPr>
        <w:t>7</w:t>
      </w:r>
      <w:r>
        <w:rPr>
          <w:rFonts w:ascii="Arial" w:hAnsi="Arial" w:cs="Arial"/>
          <w:b/>
          <w:bCs/>
          <w:sz w:val="28"/>
          <w:vertAlign w:val="superscript"/>
        </w:rPr>
        <w:t>th</w:t>
      </w:r>
      <w:r>
        <w:rPr>
          <w:rFonts w:ascii="Arial" w:hAnsi="Arial" w:cs="Arial"/>
          <w:b/>
          <w:bCs/>
          <w:sz w:val="28"/>
        </w:rPr>
        <w:t xml:space="preserve"> </w:t>
      </w:r>
      <w:r>
        <w:rPr>
          <w:rFonts w:ascii="Arial" w:eastAsia="MS Mincho" w:hAnsi="Arial" w:cs="Arial"/>
          <w:b/>
          <w:bCs/>
          <w:sz w:val="28"/>
          <w:lang w:eastAsia="ja-JP"/>
        </w:rPr>
        <w:t>February</w:t>
      </w:r>
      <w:r>
        <w:rPr>
          <w:rFonts w:ascii="Arial" w:hAnsi="Arial" w:cs="Arial"/>
          <w:b/>
          <w:bCs/>
          <w:sz w:val="28"/>
        </w:rPr>
        <w:t xml:space="preserve"> 201</w:t>
      </w:r>
      <w:r>
        <w:rPr>
          <w:rFonts w:ascii="Arial" w:eastAsia="MS Mincho" w:hAnsi="Arial" w:cs="Arial"/>
          <w:b/>
          <w:bCs/>
          <w:sz w:val="28"/>
          <w:lang w:eastAsia="ja-JP"/>
        </w:rPr>
        <w:t>7</w:t>
      </w: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19F5EC6F"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w:t>
      </w:r>
      <w:r w:rsidR="00687B88" w:rsidRPr="00687B88">
        <w:rPr>
          <w:rFonts w:ascii="Arial" w:hAnsi="Arial" w:cs="Arial"/>
          <w:snapToGrid w:val="0"/>
          <w:sz w:val="24"/>
        </w:rPr>
        <w:t>7.2.4.4</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28C4B1DC" w:rsidR="00335B11"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AF23DF">
        <w:rPr>
          <w:rFonts w:ascii="Arial" w:hAnsi="Arial" w:cs="Arial"/>
          <w:snapToGrid w:val="0"/>
          <w:sz w:val="24"/>
        </w:rPr>
        <w:t>Non-anchor PRB enhancements</w:t>
      </w:r>
    </w:p>
    <w:p w14:paraId="62BEAD57" w14:textId="7FEE7D64" w:rsidR="007560B7" w:rsidRPr="000F29F8"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7AB7E55C" w14:textId="77777777" w:rsidR="00E80D0C" w:rsidRPr="00392E7D"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3815B707" w14:textId="147C8AED" w:rsidR="006F5C8E"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In RAN#7</w:t>
      </w:r>
      <w:r w:rsidR="0050693F">
        <w:rPr>
          <w:rFonts w:ascii="Times New Roman"/>
          <w:snapToGrid w:val="0"/>
          <w:kern w:val="0"/>
          <w:sz w:val="22"/>
          <w:szCs w:val="22"/>
          <w:lang w:val="en-GB"/>
        </w:rPr>
        <w:t>2</w:t>
      </w:r>
      <w:r>
        <w:rPr>
          <w:rFonts w:ascii="Times New Roman"/>
          <w:snapToGrid w:val="0"/>
          <w:kern w:val="0"/>
          <w:sz w:val="22"/>
          <w:szCs w:val="22"/>
          <w:lang w:val="en-GB"/>
        </w:rPr>
        <w:t xml:space="preserve"> a new work item (WI) named </w:t>
      </w:r>
      <w:r w:rsidR="0047204B">
        <w:rPr>
          <w:rFonts w:ascii="Times New Roman"/>
          <w:i/>
          <w:snapToGrid w:val="0"/>
          <w:kern w:val="0"/>
          <w:sz w:val="22"/>
          <w:szCs w:val="22"/>
          <w:lang w:val="en-GB"/>
        </w:rPr>
        <w:t>enhancements of NB-</w:t>
      </w:r>
      <w:proofErr w:type="spellStart"/>
      <w:proofErr w:type="gramStart"/>
      <w:r w:rsidR="0047204B">
        <w:rPr>
          <w:rFonts w:ascii="Times New Roman"/>
          <w:i/>
          <w:snapToGrid w:val="0"/>
          <w:kern w:val="0"/>
          <w:sz w:val="22"/>
          <w:szCs w:val="22"/>
          <w:lang w:val="en-GB"/>
        </w:rPr>
        <w:t>IoT</w:t>
      </w:r>
      <w:proofErr w:type="spellEnd"/>
      <w:r w:rsidR="0050693F">
        <w:rPr>
          <w:rFonts w:ascii="Times New Roman"/>
          <w:i/>
          <w:snapToGrid w:val="0"/>
          <w:kern w:val="0"/>
          <w:sz w:val="22"/>
          <w:szCs w:val="22"/>
          <w:lang w:val="en-GB"/>
        </w:rPr>
        <w:t xml:space="preserve"> </w:t>
      </w:r>
      <w:r>
        <w:rPr>
          <w:rFonts w:ascii="Times New Roman"/>
          <w:snapToGrid w:val="0"/>
          <w:kern w:val="0"/>
          <w:sz w:val="22"/>
          <w:szCs w:val="22"/>
          <w:lang w:val="en-GB"/>
        </w:rPr>
        <w:t xml:space="preserve"> [</w:t>
      </w:r>
      <w:proofErr w:type="gramEnd"/>
      <w:r>
        <w:rPr>
          <w:rFonts w:ascii="Times New Roman"/>
          <w:snapToGrid w:val="0"/>
          <w:kern w:val="0"/>
          <w:sz w:val="22"/>
          <w:szCs w:val="22"/>
          <w:lang w:val="en-GB"/>
        </w:rPr>
        <w:t xml:space="preserve">1] was introduced. </w:t>
      </w:r>
      <w:r w:rsidR="00FF47FD">
        <w:rPr>
          <w:rFonts w:ascii="Times New Roman"/>
          <w:snapToGrid w:val="0"/>
          <w:kern w:val="0"/>
          <w:sz w:val="22"/>
          <w:szCs w:val="22"/>
          <w:lang w:val="en-GB"/>
        </w:rPr>
        <w:t xml:space="preserve">The objectives of the WI include the support of positioning, multicast, </w:t>
      </w:r>
      <w:r w:rsidR="0047204B">
        <w:rPr>
          <w:rFonts w:ascii="Times New Roman"/>
          <w:snapToGrid w:val="0"/>
          <w:kern w:val="0"/>
          <w:sz w:val="22"/>
          <w:szCs w:val="22"/>
          <w:lang w:val="en-GB"/>
        </w:rPr>
        <w:t>non-anchor PRB enhancements, mobility and new power classes</w:t>
      </w:r>
      <w:r w:rsidR="00FF47FD">
        <w:rPr>
          <w:rFonts w:ascii="Times New Roman"/>
          <w:snapToGrid w:val="0"/>
          <w:kern w:val="0"/>
          <w:sz w:val="22"/>
          <w:szCs w:val="22"/>
          <w:lang w:val="en-GB"/>
        </w:rPr>
        <w:t>.</w:t>
      </w:r>
      <w:r w:rsidR="0053253C">
        <w:rPr>
          <w:rFonts w:ascii="Times New Roman"/>
          <w:snapToGrid w:val="0"/>
          <w:kern w:val="0"/>
          <w:sz w:val="22"/>
          <w:szCs w:val="22"/>
          <w:lang w:val="en-GB"/>
        </w:rPr>
        <w:t xml:space="preserve"> In RAN1#86 the following agreement was reached:</w:t>
      </w:r>
    </w:p>
    <w:p w14:paraId="08218C09" w14:textId="77777777" w:rsidR="0053253C" w:rsidRPr="0053253C" w:rsidRDefault="0053253C" w:rsidP="0053253C">
      <w:pPr>
        <w:rPr>
          <w:rFonts w:ascii="Times New Roman"/>
          <w:snapToGrid w:val="0"/>
          <w:kern w:val="0"/>
          <w:sz w:val="22"/>
          <w:szCs w:val="22"/>
          <w:lang w:val="en-GB"/>
        </w:rPr>
      </w:pPr>
      <w:r w:rsidRPr="0053253C">
        <w:rPr>
          <w:rFonts w:ascii="Times New Roman"/>
          <w:snapToGrid w:val="0"/>
          <w:kern w:val="0"/>
          <w:sz w:val="22"/>
          <w:szCs w:val="22"/>
          <w:highlight w:val="green"/>
          <w:lang w:val="en-GB"/>
        </w:rPr>
        <w:t>Agreements</w:t>
      </w:r>
      <w:r w:rsidRPr="0053253C">
        <w:rPr>
          <w:rFonts w:ascii="Times New Roman"/>
          <w:snapToGrid w:val="0"/>
          <w:kern w:val="0"/>
          <w:sz w:val="22"/>
          <w:szCs w:val="22"/>
          <w:lang w:val="en-GB"/>
        </w:rPr>
        <w:t>:</w:t>
      </w:r>
    </w:p>
    <w:p w14:paraId="0A05EB4C" w14:textId="77777777" w:rsidR="0053253C" w:rsidRPr="0053253C" w:rsidRDefault="0053253C" w:rsidP="0053253C">
      <w:pPr>
        <w:widowControl/>
        <w:numPr>
          <w:ilvl w:val="0"/>
          <w:numId w:val="13"/>
        </w:numPr>
        <w:wordWrap/>
        <w:autoSpaceDE/>
        <w:autoSpaceDN/>
        <w:jc w:val="left"/>
        <w:rPr>
          <w:rFonts w:ascii="Times New Roman"/>
          <w:snapToGrid w:val="0"/>
          <w:kern w:val="0"/>
          <w:sz w:val="22"/>
          <w:szCs w:val="22"/>
          <w:lang w:val="en-GB"/>
        </w:rPr>
      </w:pPr>
      <w:r w:rsidRPr="0053253C">
        <w:rPr>
          <w:rFonts w:ascii="Times New Roman"/>
          <w:snapToGrid w:val="0"/>
          <w:kern w:val="0"/>
          <w:sz w:val="22"/>
          <w:szCs w:val="22"/>
          <w:lang w:val="en-GB"/>
        </w:rPr>
        <w:t xml:space="preserve">For paging: </w:t>
      </w:r>
    </w:p>
    <w:p w14:paraId="202074AA" w14:textId="77777777" w:rsidR="0053253C" w:rsidRPr="0053253C" w:rsidRDefault="0053253C" w:rsidP="0053253C">
      <w:pPr>
        <w:widowControl/>
        <w:numPr>
          <w:ilvl w:val="1"/>
          <w:numId w:val="13"/>
        </w:numPr>
        <w:wordWrap/>
        <w:autoSpaceDE/>
        <w:autoSpaceDN/>
        <w:jc w:val="left"/>
        <w:rPr>
          <w:rFonts w:ascii="Times New Roman"/>
          <w:snapToGrid w:val="0"/>
          <w:kern w:val="0"/>
          <w:sz w:val="22"/>
          <w:szCs w:val="22"/>
          <w:lang w:val="en-GB"/>
        </w:rPr>
      </w:pPr>
      <w:r w:rsidRPr="0053253C">
        <w:rPr>
          <w:rFonts w:ascii="Times New Roman" w:hint="eastAsia"/>
          <w:snapToGrid w:val="0"/>
          <w:kern w:val="0"/>
          <w:sz w:val="22"/>
          <w:szCs w:val="22"/>
          <w:lang w:val="en-GB"/>
        </w:rPr>
        <w:t>For a Rel-14 NB-</w:t>
      </w:r>
      <w:proofErr w:type="spellStart"/>
      <w:r w:rsidRPr="0053253C">
        <w:rPr>
          <w:rFonts w:ascii="Times New Roman" w:hint="eastAsia"/>
          <w:snapToGrid w:val="0"/>
          <w:kern w:val="0"/>
          <w:sz w:val="22"/>
          <w:szCs w:val="22"/>
          <w:lang w:val="en-GB"/>
        </w:rPr>
        <w:t>IoT</w:t>
      </w:r>
      <w:proofErr w:type="spellEnd"/>
      <w:r w:rsidRPr="0053253C">
        <w:rPr>
          <w:rFonts w:ascii="Times New Roman" w:hint="eastAsia"/>
          <w:snapToGrid w:val="0"/>
          <w:kern w:val="0"/>
          <w:sz w:val="22"/>
          <w:szCs w:val="22"/>
          <w:lang w:val="en-GB"/>
        </w:rPr>
        <w:t xml:space="preserve"> UE, both anchor and non-anchor PRB can be selected as</w:t>
      </w:r>
      <w:r w:rsidRPr="0053253C">
        <w:rPr>
          <w:rFonts w:ascii="Times New Roman"/>
          <w:snapToGrid w:val="0"/>
          <w:kern w:val="0"/>
          <w:sz w:val="22"/>
          <w:szCs w:val="22"/>
          <w:lang w:val="en-GB"/>
        </w:rPr>
        <w:t xml:space="preserve"> the</w:t>
      </w:r>
      <w:r w:rsidRPr="0053253C">
        <w:rPr>
          <w:rFonts w:ascii="Times New Roman" w:hint="eastAsia"/>
          <w:snapToGrid w:val="0"/>
          <w:kern w:val="0"/>
          <w:sz w:val="22"/>
          <w:szCs w:val="22"/>
          <w:lang w:val="en-GB"/>
        </w:rPr>
        <w:t xml:space="preserve"> paging PRB </w:t>
      </w:r>
    </w:p>
    <w:p w14:paraId="18285E20" w14:textId="77777777" w:rsidR="0053253C" w:rsidRPr="0053253C" w:rsidRDefault="0053253C" w:rsidP="0053253C">
      <w:pPr>
        <w:widowControl/>
        <w:numPr>
          <w:ilvl w:val="2"/>
          <w:numId w:val="13"/>
        </w:numPr>
        <w:wordWrap/>
        <w:autoSpaceDE/>
        <w:autoSpaceDN/>
        <w:jc w:val="left"/>
        <w:rPr>
          <w:rFonts w:ascii="Times New Roman"/>
          <w:snapToGrid w:val="0"/>
          <w:kern w:val="0"/>
          <w:sz w:val="22"/>
          <w:szCs w:val="22"/>
          <w:lang w:val="en-GB"/>
        </w:rPr>
      </w:pPr>
      <w:r w:rsidRPr="0053253C">
        <w:rPr>
          <w:rFonts w:ascii="Times New Roman"/>
          <w:snapToGrid w:val="0"/>
          <w:kern w:val="0"/>
          <w:sz w:val="22"/>
          <w:szCs w:val="22"/>
          <w:lang w:val="en-GB"/>
        </w:rPr>
        <w:t>A Rel-14 UE chooses the PRB based on UE_ID</w:t>
      </w:r>
    </w:p>
    <w:p w14:paraId="5FAFA639" w14:textId="77777777" w:rsidR="0053253C" w:rsidRDefault="0053253C" w:rsidP="0053253C">
      <w:pPr>
        <w:widowControl/>
        <w:numPr>
          <w:ilvl w:val="1"/>
          <w:numId w:val="13"/>
        </w:numPr>
        <w:wordWrap/>
        <w:autoSpaceDE/>
        <w:autoSpaceDN/>
        <w:jc w:val="left"/>
        <w:rPr>
          <w:rFonts w:ascii="Times New Roman"/>
          <w:snapToGrid w:val="0"/>
          <w:kern w:val="0"/>
          <w:sz w:val="22"/>
          <w:szCs w:val="22"/>
          <w:lang w:val="en-GB"/>
        </w:rPr>
      </w:pPr>
      <w:r w:rsidRPr="0053253C">
        <w:rPr>
          <w:rFonts w:ascii="Times New Roman" w:hint="eastAsia"/>
          <w:snapToGrid w:val="0"/>
          <w:kern w:val="0"/>
          <w:sz w:val="22"/>
          <w:szCs w:val="22"/>
          <w:lang w:val="en-GB"/>
        </w:rPr>
        <w:t>Paging message on NPDSCH is scheduled by NPDCCH on the same PRB</w:t>
      </w:r>
      <w:r w:rsidRPr="0053253C">
        <w:rPr>
          <w:rFonts w:ascii="Times New Roman"/>
          <w:snapToGrid w:val="0"/>
          <w:kern w:val="0"/>
          <w:sz w:val="22"/>
          <w:szCs w:val="22"/>
          <w:lang w:val="en-GB"/>
        </w:rPr>
        <w:t>.</w:t>
      </w:r>
    </w:p>
    <w:p w14:paraId="5660C661" w14:textId="77777777" w:rsidR="00BC26DE" w:rsidRDefault="00BC26DE" w:rsidP="00687B88">
      <w:pPr>
        <w:widowControl/>
        <w:wordWrap/>
        <w:autoSpaceDE/>
        <w:autoSpaceDN/>
        <w:ind w:left="1440"/>
        <w:jc w:val="left"/>
        <w:rPr>
          <w:rFonts w:ascii="Times New Roman"/>
          <w:snapToGrid w:val="0"/>
          <w:kern w:val="0"/>
          <w:sz w:val="22"/>
          <w:szCs w:val="22"/>
          <w:lang w:val="en-GB"/>
        </w:rPr>
      </w:pPr>
    </w:p>
    <w:p w14:paraId="4ECD4A0C" w14:textId="1BE9C4CA" w:rsidR="00BC26DE" w:rsidRDefault="00BC26DE" w:rsidP="00BC26DE">
      <w:pPr>
        <w:widowControl/>
        <w:wordWrap/>
        <w:autoSpaceDE/>
        <w:autoSpaceDN/>
        <w:jc w:val="left"/>
        <w:rPr>
          <w:rFonts w:ascii="Times New Roman"/>
          <w:snapToGrid w:val="0"/>
          <w:kern w:val="0"/>
          <w:sz w:val="22"/>
          <w:szCs w:val="22"/>
          <w:lang w:val="en-GB"/>
        </w:rPr>
      </w:pPr>
      <w:r>
        <w:rPr>
          <w:rFonts w:ascii="Times New Roman"/>
          <w:snapToGrid w:val="0"/>
          <w:kern w:val="0"/>
          <w:sz w:val="22"/>
          <w:szCs w:val="22"/>
          <w:lang w:val="en-GB"/>
        </w:rPr>
        <w:t>Additionally, in RAN2#</w:t>
      </w:r>
      <w:r w:rsidR="00687B88">
        <w:rPr>
          <w:rFonts w:ascii="Times New Roman"/>
          <w:snapToGrid w:val="0"/>
          <w:kern w:val="0"/>
          <w:sz w:val="22"/>
          <w:szCs w:val="22"/>
          <w:lang w:val="en-GB"/>
        </w:rPr>
        <w:t>96 the following agreement</w:t>
      </w:r>
      <w:r>
        <w:rPr>
          <w:rFonts w:ascii="Times New Roman"/>
          <w:snapToGrid w:val="0"/>
          <w:kern w:val="0"/>
          <w:sz w:val="22"/>
          <w:szCs w:val="22"/>
          <w:lang w:val="en-GB"/>
        </w:rPr>
        <w:t xml:space="preserve"> </w:t>
      </w:r>
      <w:r w:rsidR="00687B88">
        <w:rPr>
          <w:rFonts w:ascii="Times New Roman"/>
          <w:snapToGrid w:val="0"/>
          <w:kern w:val="0"/>
          <w:sz w:val="22"/>
          <w:szCs w:val="22"/>
          <w:lang w:val="en-GB"/>
        </w:rPr>
        <w:t>was</w:t>
      </w:r>
      <w:r>
        <w:rPr>
          <w:rFonts w:ascii="Times New Roman"/>
          <w:snapToGrid w:val="0"/>
          <w:kern w:val="0"/>
          <w:sz w:val="22"/>
          <w:szCs w:val="22"/>
          <w:lang w:val="en-GB"/>
        </w:rPr>
        <w:t xml:space="preserve"> reached:</w:t>
      </w:r>
    </w:p>
    <w:p w14:paraId="722F2EA7" w14:textId="77777777" w:rsidR="00687B88" w:rsidRDefault="00687B88" w:rsidP="00687B88">
      <w:pPr>
        <w:pStyle w:val="Agreement"/>
        <w:tabs>
          <w:tab w:val="clear" w:pos="-2250"/>
          <w:tab w:val="num" w:pos="2790"/>
        </w:tabs>
        <w:rPr>
          <w:lang w:eastAsia="zh-TW"/>
        </w:rPr>
      </w:pPr>
      <w:r w:rsidRPr="006D6A76">
        <w:rPr>
          <w:lang w:eastAsia="zh-TW"/>
        </w:rPr>
        <w:t xml:space="preserve">UE camps </w:t>
      </w:r>
      <w:r>
        <w:rPr>
          <w:rFonts w:eastAsia="PMingLiU" w:hint="eastAsia"/>
          <w:lang w:eastAsia="zh-TW"/>
        </w:rPr>
        <w:t xml:space="preserve">on </w:t>
      </w:r>
      <w:r w:rsidRPr="006D6A76">
        <w:rPr>
          <w:lang w:eastAsia="zh-TW"/>
        </w:rPr>
        <w:t>and performs measurement on the anchor carrier.</w:t>
      </w:r>
    </w:p>
    <w:p w14:paraId="6EA3FB69" w14:textId="77777777" w:rsidR="00BC26DE" w:rsidRPr="0053253C" w:rsidRDefault="00BC26DE" w:rsidP="00BC26DE">
      <w:pPr>
        <w:widowControl/>
        <w:wordWrap/>
        <w:autoSpaceDE/>
        <w:autoSpaceDN/>
        <w:jc w:val="left"/>
        <w:rPr>
          <w:rFonts w:ascii="Times New Roman"/>
          <w:snapToGrid w:val="0"/>
          <w:kern w:val="0"/>
          <w:sz w:val="22"/>
          <w:szCs w:val="22"/>
          <w:lang w:val="en-GB"/>
        </w:rPr>
      </w:pPr>
    </w:p>
    <w:p w14:paraId="4AF8E9B7" w14:textId="1E1D7019" w:rsidR="00111B9A" w:rsidRPr="00111B9A"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In this document we prov</w:t>
      </w:r>
      <w:r w:rsidR="00BC26DE">
        <w:rPr>
          <w:rFonts w:ascii="Times New Roman"/>
          <w:snapToGrid w:val="0"/>
          <w:kern w:val="0"/>
          <w:sz w:val="22"/>
          <w:szCs w:val="22"/>
          <w:lang w:val="en-GB"/>
        </w:rPr>
        <w:t>ide our views on the remaining details on the support of paging in non-anchor PRBs, particularly on the presence of NRS in a non-anchor PRBs</w:t>
      </w:r>
    </w:p>
    <w:p w14:paraId="225AC796" w14:textId="77777777" w:rsidR="00D57529" w:rsidRPr="00111B9A" w:rsidRDefault="00D57529" w:rsidP="00D57529">
      <w:pPr>
        <w:pStyle w:val="LGTdoc0"/>
        <w:spacing w:afterLines="0" w:after="120" w:line="240" w:lineRule="auto"/>
        <w:ind w:left="792"/>
        <w:rPr>
          <w:szCs w:val="22"/>
        </w:rPr>
      </w:pPr>
    </w:p>
    <w:p w14:paraId="21C99EB9" w14:textId="1273856F" w:rsidR="00180683" w:rsidRDefault="00BC26DE" w:rsidP="00180683">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Presence of NRS in non-anchor PRBs</w:t>
      </w:r>
    </w:p>
    <w:p w14:paraId="082E5732" w14:textId="74C37FFB" w:rsidR="00BC26DE" w:rsidRDefault="00BC26DE" w:rsidP="00BC26DE">
      <w:pPr>
        <w:pStyle w:val="LGTdoc1"/>
        <w:spacing w:beforeLines="0" w:before="120" w:after="220" w:afterAutospacing="0"/>
        <w:rPr>
          <w:b w:val="0"/>
          <w:sz w:val="22"/>
          <w:szCs w:val="22"/>
        </w:rPr>
      </w:pPr>
      <w:r w:rsidRPr="00BC26DE">
        <w:rPr>
          <w:b w:val="0"/>
          <w:sz w:val="22"/>
          <w:szCs w:val="22"/>
        </w:rPr>
        <w:t>In</w:t>
      </w:r>
      <w:r>
        <w:rPr>
          <w:b w:val="0"/>
          <w:sz w:val="22"/>
          <w:szCs w:val="22"/>
        </w:rPr>
        <w:t xml:space="preserve"> Rel-13 NB-</w:t>
      </w:r>
      <w:proofErr w:type="spellStart"/>
      <w:r>
        <w:rPr>
          <w:b w:val="0"/>
          <w:sz w:val="22"/>
          <w:szCs w:val="22"/>
        </w:rPr>
        <w:t>IoT</w:t>
      </w:r>
      <w:proofErr w:type="spellEnd"/>
      <w:r>
        <w:rPr>
          <w:b w:val="0"/>
          <w:sz w:val="22"/>
          <w:szCs w:val="22"/>
        </w:rPr>
        <w:t xml:space="preserve">, the setting </w:t>
      </w:r>
      <w:r w:rsidR="00295EC5">
        <w:rPr>
          <w:b w:val="0"/>
          <w:sz w:val="22"/>
          <w:szCs w:val="22"/>
        </w:rPr>
        <w:t xml:space="preserve">of non-anchor PRBs is done in a </w:t>
      </w:r>
      <w:r>
        <w:rPr>
          <w:b w:val="0"/>
          <w:sz w:val="22"/>
          <w:szCs w:val="22"/>
        </w:rPr>
        <w:t xml:space="preserve">unicast manner, i.e., a UE accesses the cell using the anchor PRB, and then an RRC reconfiguration is performed to move this UE to a non-anchor PRB. Thus, a UE has no knowledge of the non-anchor PRB until it is configured by the </w:t>
      </w:r>
      <w:proofErr w:type="spellStart"/>
      <w:r>
        <w:rPr>
          <w:b w:val="0"/>
          <w:sz w:val="22"/>
          <w:szCs w:val="22"/>
        </w:rPr>
        <w:t>eNB</w:t>
      </w:r>
      <w:proofErr w:type="spellEnd"/>
      <w:r>
        <w:rPr>
          <w:b w:val="0"/>
          <w:sz w:val="22"/>
          <w:szCs w:val="22"/>
        </w:rPr>
        <w:t>, and so the UE only expects NRS in this PRB after the configuration takes place.</w:t>
      </w:r>
    </w:p>
    <w:p w14:paraId="5CE9DA96" w14:textId="4EA8DF11" w:rsidR="00BC26DE" w:rsidRDefault="00BC26DE" w:rsidP="00BC26DE">
      <w:pPr>
        <w:pStyle w:val="LGTdoc1"/>
        <w:spacing w:beforeLines="0" w:before="120" w:after="220" w:afterAutospacing="0"/>
        <w:rPr>
          <w:b w:val="0"/>
          <w:sz w:val="22"/>
          <w:szCs w:val="22"/>
        </w:rPr>
      </w:pPr>
      <w:r>
        <w:rPr>
          <w:b w:val="0"/>
          <w:sz w:val="22"/>
          <w:szCs w:val="22"/>
        </w:rPr>
        <w:t>For Rel-14 enhancements, however, the situation is slightly different, since the existence of non-anchor PRBs is broadcast in system information.</w:t>
      </w:r>
      <w:r w:rsidR="00C67F43">
        <w:rPr>
          <w:b w:val="0"/>
          <w:sz w:val="22"/>
          <w:szCs w:val="22"/>
        </w:rPr>
        <w:t xml:space="preserve"> </w:t>
      </w:r>
      <w:r>
        <w:rPr>
          <w:b w:val="0"/>
          <w:sz w:val="22"/>
          <w:szCs w:val="22"/>
        </w:rPr>
        <w:t xml:space="preserve">Thus, any UE can be </w:t>
      </w:r>
      <w:r w:rsidR="00C67F43">
        <w:rPr>
          <w:b w:val="0"/>
          <w:sz w:val="22"/>
          <w:szCs w:val="22"/>
        </w:rPr>
        <w:t xml:space="preserve">monitoring paging/random access response without the </w:t>
      </w:r>
      <w:proofErr w:type="spellStart"/>
      <w:r w:rsidR="00C67F43">
        <w:rPr>
          <w:b w:val="0"/>
          <w:sz w:val="22"/>
          <w:szCs w:val="22"/>
        </w:rPr>
        <w:t>eNB</w:t>
      </w:r>
      <w:proofErr w:type="spellEnd"/>
      <w:r w:rsidR="00C67F43">
        <w:rPr>
          <w:b w:val="0"/>
          <w:sz w:val="22"/>
          <w:szCs w:val="22"/>
        </w:rPr>
        <w:t xml:space="preserve"> knowing it. The presence of NRS in this carrier, therefore, has to be fixed in the specification to allow for common understanding between UE and </w:t>
      </w:r>
      <w:proofErr w:type="spellStart"/>
      <w:r w:rsidR="00C67F43">
        <w:rPr>
          <w:b w:val="0"/>
          <w:sz w:val="22"/>
          <w:szCs w:val="22"/>
        </w:rPr>
        <w:t>eNB</w:t>
      </w:r>
      <w:proofErr w:type="spellEnd"/>
      <w:r w:rsidR="00C67F43">
        <w:rPr>
          <w:b w:val="0"/>
          <w:sz w:val="22"/>
          <w:szCs w:val="22"/>
        </w:rPr>
        <w:t>.</w:t>
      </w:r>
    </w:p>
    <w:p w14:paraId="3F827886" w14:textId="4620D78D" w:rsidR="00C67F43" w:rsidRDefault="00C67F43" w:rsidP="00BC26DE">
      <w:pPr>
        <w:pStyle w:val="LGTdoc1"/>
        <w:spacing w:beforeLines="0" w:before="120" w:after="220" w:afterAutospacing="0"/>
        <w:rPr>
          <w:b w:val="0"/>
          <w:sz w:val="22"/>
          <w:szCs w:val="22"/>
        </w:rPr>
      </w:pPr>
      <w:r>
        <w:rPr>
          <w:b w:val="0"/>
          <w:sz w:val="22"/>
          <w:szCs w:val="22"/>
        </w:rPr>
        <w:t>NRS can be used by a UE for the following:</w:t>
      </w:r>
    </w:p>
    <w:p w14:paraId="1BB421C0" w14:textId="2ECD9483" w:rsidR="00C67F43" w:rsidRPr="00C67F43" w:rsidRDefault="00C67F43" w:rsidP="00C67F43">
      <w:pPr>
        <w:pStyle w:val="LGTdoc1"/>
        <w:numPr>
          <w:ilvl w:val="0"/>
          <w:numId w:val="16"/>
        </w:numPr>
        <w:spacing w:beforeLines="0" w:before="120" w:after="220" w:afterAutospacing="0"/>
        <w:rPr>
          <w:b w:val="0"/>
          <w:sz w:val="22"/>
          <w:szCs w:val="22"/>
          <w:u w:val="single"/>
        </w:rPr>
      </w:pPr>
      <w:r w:rsidRPr="00C67F43">
        <w:rPr>
          <w:sz w:val="22"/>
          <w:szCs w:val="22"/>
          <w:u w:val="single"/>
        </w:rPr>
        <w:t>Time/frequency tracking:</w:t>
      </w:r>
      <w:r>
        <w:rPr>
          <w:b w:val="0"/>
          <w:sz w:val="22"/>
          <w:szCs w:val="22"/>
        </w:rPr>
        <w:t xml:space="preserve"> After being in DRX (especially for long periods of time), the local oscillator of the UE may have drifted due to temperature changes or other imperfections. The measurement of NRS allows the UE to correct these frequency errors. Note that this time/frequency errors are not only applied for demodulation of a physical channel, but also for </w:t>
      </w:r>
      <w:r w:rsidR="00290150">
        <w:rPr>
          <w:b w:val="0"/>
          <w:sz w:val="22"/>
          <w:szCs w:val="22"/>
        </w:rPr>
        <w:t xml:space="preserve">adjusting the internal clock used for </w:t>
      </w:r>
      <w:r>
        <w:rPr>
          <w:b w:val="0"/>
          <w:sz w:val="22"/>
          <w:szCs w:val="22"/>
        </w:rPr>
        <w:t>determining the time until the next wake-up</w:t>
      </w:r>
      <w:r w:rsidR="00687B88">
        <w:rPr>
          <w:b w:val="0"/>
          <w:sz w:val="22"/>
          <w:szCs w:val="22"/>
        </w:rPr>
        <w:t>. The time/frequency accuracy is especially important for the case of NPRACH retransmission, when the UE transmits NPRACH after monitoring for RAR.</w:t>
      </w:r>
    </w:p>
    <w:p w14:paraId="74FA09D8" w14:textId="5C12EE08" w:rsidR="00C67F43" w:rsidRPr="00290150" w:rsidRDefault="00C67F43" w:rsidP="00C67F43">
      <w:pPr>
        <w:pStyle w:val="LGTdoc1"/>
        <w:numPr>
          <w:ilvl w:val="0"/>
          <w:numId w:val="16"/>
        </w:numPr>
        <w:spacing w:beforeLines="0" w:before="120" w:after="220" w:afterAutospacing="0"/>
        <w:rPr>
          <w:sz w:val="22"/>
          <w:szCs w:val="22"/>
          <w:u w:val="single"/>
        </w:rPr>
      </w:pPr>
      <w:r w:rsidRPr="00290150">
        <w:rPr>
          <w:sz w:val="22"/>
          <w:szCs w:val="22"/>
          <w:u w:val="single"/>
        </w:rPr>
        <w:t>Channel estimation:</w:t>
      </w:r>
      <w:r w:rsidRPr="00290150">
        <w:rPr>
          <w:sz w:val="22"/>
          <w:szCs w:val="22"/>
        </w:rPr>
        <w:t xml:space="preserve"> </w:t>
      </w:r>
      <w:r w:rsidR="00290150">
        <w:rPr>
          <w:b w:val="0"/>
          <w:sz w:val="22"/>
          <w:szCs w:val="22"/>
        </w:rPr>
        <w:t xml:space="preserve">The UE uses NRS to demodulate NPDSCH and NDPCCH. The presence of NRS before the actual paging occasion may be used, for example, to </w:t>
      </w:r>
      <w:r w:rsidR="00290150">
        <w:rPr>
          <w:b w:val="0"/>
          <w:i/>
          <w:sz w:val="22"/>
          <w:szCs w:val="22"/>
        </w:rPr>
        <w:t>warm up</w:t>
      </w:r>
      <w:r w:rsidR="00290150">
        <w:rPr>
          <w:b w:val="0"/>
          <w:sz w:val="22"/>
          <w:szCs w:val="22"/>
        </w:rPr>
        <w:t xml:space="preserve"> the channel estimation before the actual NPDCCH arrives.</w:t>
      </w:r>
    </w:p>
    <w:p w14:paraId="5F944355" w14:textId="273FDEE4" w:rsidR="00C67F43" w:rsidRPr="00290150" w:rsidRDefault="00C67F43" w:rsidP="00C67F43">
      <w:pPr>
        <w:pStyle w:val="LGTdoc1"/>
        <w:numPr>
          <w:ilvl w:val="0"/>
          <w:numId w:val="16"/>
        </w:numPr>
        <w:spacing w:beforeLines="0" w:before="120" w:after="220" w:afterAutospacing="0"/>
        <w:rPr>
          <w:sz w:val="22"/>
          <w:szCs w:val="22"/>
          <w:u w:val="single"/>
        </w:rPr>
      </w:pPr>
      <w:r w:rsidRPr="00290150">
        <w:rPr>
          <w:sz w:val="22"/>
          <w:szCs w:val="22"/>
          <w:u w:val="single"/>
        </w:rPr>
        <w:t xml:space="preserve">Measurements: </w:t>
      </w:r>
      <w:r w:rsidRPr="00290150">
        <w:rPr>
          <w:b w:val="0"/>
          <w:sz w:val="22"/>
          <w:szCs w:val="22"/>
        </w:rPr>
        <w:t xml:space="preserve">When in idle mode, a UE has to </w:t>
      </w:r>
      <w:r w:rsidR="00290150">
        <w:rPr>
          <w:b w:val="0"/>
          <w:sz w:val="22"/>
          <w:szCs w:val="22"/>
        </w:rPr>
        <w:t xml:space="preserve">perform cell reselection, and to do so has to measure NRS. Although NRS may be measured in the anchor PRB, it would be useful to enable </w:t>
      </w:r>
      <w:r w:rsidR="00290150">
        <w:rPr>
          <w:b w:val="0"/>
          <w:sz w:val="22"/>
          <w:szCs w:val="22"/>
        </w:rPr>
        <w:lastRenderedPageBreak/>
        <w:t>measurements in the non-anchor PRB as well. If this is enabled, the UE may wake up from deep sleep, perform the measurements in the non-anchor PRB and decode paging simultaneously.</w:t>
      </w:r>
    </w:p>
    <w:p w14:paraId="0BF2284A" w14:textId="77777777" w:rsidR="00CB67B9" w:rsidRDefault="00687B88" w:rsidP="00290150">
      <w:pPr>
        <w:pStyle w:val="LGTdoc1"/>
        <w:spacing w:beforeLines="0" w:before="120" w:after="220" w:afterAutospacing="0"/>
        <w:rPr>
          <w:b w:val="0"/>
          <w:sz w:val="22"/>
          <w:szCs w:val="22"/>
        </w:rPr>
      </w:pPr>
      <w:r>
        <w:rPr>
          <w:b w:val="0"/>
          <w:sz w:val="22"/>
          <w:szCs w:val="22"/>
        </w:rPr>
        <w:t xml:space="preserve">This last item is especially critical for power consumption in idle mode. If the UE cannot measure NRS at the same time it is decoding paging, then its power consumption will increase due to serial operation. </w:t>
      </w:r>
    </w:p>
    <w:p w14:paraId="4FD276EA" w14:textId="77777777" w:rsidR="00CB67B9" w:rsidRPr="00CB67B9" w:rsidRDefault="00CB67B9" w:rsidP="00CB67B9">
      <w:pPr>
        <w:pStyle w:val="LGTdoc1"/>
        <w:spacing w:beforeLines="0" w:before="120" w:after="220" w:afterAutospacing="0"/>
        <w:rPr>
          <w:sz w:val="22"/>
          <w:szCs w:val="22"/>
        </w:rPr>
      </w:pPr>
      <w:r w:rsidRPr="00CB67B9">
        <w:rPr>
          <w:sz w:val="22"/>
          <w:szCs w:val="22"/>
          <w:u w:val="single"/>
        </w:rPr>
        <w:t>Observation 1:</w:t>
      </w:r>
      <w:r>
        <w:rPr>
          <w:sz w:val="22"/>
          <w:szCs w:val="22"/>
          <w:u w:val="single"/>
        </w:rPr>
        <w:t xml:space="preserve"> </w:t>
      </w:r>
      <w:r w:rsidRPr="00CB67B9">
        <w:rPr>
          <w:sz w:val="22"/>
          <w:szCs w:val="22"/>
        </w:rPr>
        <w:t>From UE</w:t>
      </w:r>
      <w:r>
        <w:rPr>
          <w:sz w:val="22"/>
          <w:szCs w:val="22"/>
        </w:rPr>
        <w:t xml:space="preserve"> power consumption perspective, it is beneficial to perform measurements while decoding paging.</w:t>
      </w:r>
    </w:p>
    <w:p w14:paraId="171DC27E" w14:textId="64004A44" w:rsidR="00687B88" w:rsidRDefault="00687B88" w:rsidP="00290150">
      <w:pPr>
        <w:pStyle w:val="LGTdoc1"/>
        <w:spacing w:beforeLines="0" w:before="120" w:after="220" w:afterAutospacing="0"/>
        <w:rPr>
          <w:b w:val="0"/>
          <w:sz w:val="22"/>
          <w:szCs w:val="22"/>
        </w:rPr>
      </w:pPr>
      <w:r>
        <w:rPr>
          <w:b w:val="0"/>
          <w:sz w:val="22"/>
          <w:szCs w:val="22"/>
        </w:rPr>
        <w:t>The following RAN2 agreement:</w:t>
      </w:r>
    </w:p>
    <w:p w14:paraId="0A5D8793" w14:textId="77777777" w:rsidR="00687B88" w:rsidRDefault="00687B88" w:rsidP="00687B88">
      <w:pPr>
        <w:pStyle w:val="Agreement"/>
        <w:tabs>
          <w:tab w:val="clear" w:pos="-2250"/>
          <w:tab w:val="num" w:pos="2790"/>
        </w:tabs>
        <w:rPr>
          <w:lang w:eastAsia="zh-TW"/>
        </w:rPr>
      </w:pPr>
      <w:r w:rsidRPr="006D6A76">
        <w:rPr>
          <w:lang w:eastAsia="zh-TW"/>
        </w:rPr>
        <w:t xml:space="preserve">UE camps </w:t>
      </w:r>
      <w:r>
        <w:rPr>
          <w:rFonts w:eastAsia="PMingLiU" w:hint="eastAsia"/>
          <w:lang w:eastAsia="zh-TW"/>
        </w:rPr>
        <w:t xml:space="preserve">on </w:t>
      </w:r>
      <w:r w:rsidRPr="006D6A76">
        <w:rPr>
          <w:lang w:eastAsia="zh-TW"/>
        </w:rPr>
        <w:t>and performs measurement on the anchor carrier.</w:t>
      </w:r>
    </w:p>
    <w:p w14:paraId="790B35BC" w14:textId="3B953708" w:rsidR="00CB67B9" w:rsidRDefault="00687B88" w:rsidP="00CB67B9">
      <w:pPr>
        <w:pStyle w:val="LGTdoc1"/>
        <w:spacing w:beforeLines="0" w:before="120" w:after="220" w:afterAutospacing="0"/>
        <w:rPr>
          <w:b w:val="0"/>
          <w:sz w:val="22"/>
          <w:szCs w:val="22"/>
        </w:rPr>
      </w:pPr>
      <w:r>
        <w:rPr>
          <w:b w:val="0"/>
          <w:sz w:val="22"/>
          <w:szCs w:val="22"/>
        </w:rPr>
        <w:t>Appears to disable this operation. From our view, the RAN2 specification should not dictate where the UE performs the measurements, just that the NRSRP/NRSRQ are the ones for the anchor carrier (anchor/non anchor may have different power levels). Since the difference in power level is signalled, there is no reason to prevent the UE from making measurements in the non-</w:t>
      </w:r>
      <w:r w:rsidR="00CB67B9">
        <w:rPr>
          <w:b w:val="0"/>
          <w:sz w:val="22"/>
          <w:szCs w:val="22"/>
        </w:rPr>
        <w:t>anchor carrier, thus enabling all UEs to measure and decode paging at the same time. Additionally, the UE needs to detect the presence of NRS before actually performing the demodulation (e.g. for adjusting tracking loops), which increases the UE complexity and, at the same time, may harm the UE performance.</w:t>
      </w:r>
    </w:p>
    <w:p w14:paraId="275F1BDA" w14:textId="76ADB6F2" w:rsidR="00687B88" w:rsidRDefault="00687B88" w:rsidP="00290150">
      <w:pPr>
        <w:pStyle w:val="LGTdoc1"/>
        <w:spacing w:beforeLines="0" w:before="120" w:after="220" w:afterAutospacing="0"/>
        <w:rPr>
          <w:sz w:val="22"/>
          <w:szCs w:val="22"/>
        </w:rPr>
      </w:pPr>
      <w:r w:rsidRPr="00687B88">
        <w:rPr>
          <w:sz w:val="22"/>
          <w:szCs w:val="22"/>
          <w:u w:val="single"/>
        </w:rPr>
        <w:t>Proposal 1:</w:t>
      </w:r>
      <w:r>
        <w:rPr>
          <w:sz w:val="22"/>
          <w:szCs w:val="22"/>
          <w:u w:val="single"/>
        </w:rPr>
        <w:t xml:space="preserve"> </w:t>
      </w:r>
      <w:r>
        <w:rPr>
          <w:sz w:val="22"/>
          <w:szCs w:val="22"/>
        </w:rPr>
        <w:t>From RAN1 perspective, it is beneficial to be able to perform measurements in the non-anchor carriers to decrease power consumption. The RSRP/RSRQ can refer to the anchor carrier (for mobility/cell reselection), but these values can be obtained by measuring in the non-anchor carrier and applying the power offset between NRS.</w:t>
      </w:r>
    </w:p>
    <w:p w14:paraId="4DB011F5" w14:textId="044105AE" w:rsidR="00687B88" w:rsidRPr="00687B88" w:rsidRDefault="00687B88" w:rsidP="00290150">
      <w:pPr>
        <w:pStyle w:val="LGTdoc1"/>
        <w:spacing w:beforeLines="0" w:before="120" w:after="220" w:afterAutospacing="0"/>
        <w:rPr>
          <w:sz w:val="22"/>
          <w:szCs w:val="22"/>
        </w:rPr>
      </w:pPr>
      <w:r w:rsidRPr="00687B88">
        <w:rPr>
          <w:sz w:val="22"/>
          <w:szCs w:val="22"/>
          <w:u w:val="single"/>
        </w:rPr>
        <w:t xml:space="preserve">Proposal 2: </w:t>
      </w:r>
      <w:r>
        <w:rPr>
          <w:sz w:val="22"/>
          <w:szCs w:val="22"/>
        </w:rPr>
        <w:t>Send an LS to RAN2 with the previous proposal.</w:t>
      </w:r>
    </w:p>
    <w:p w14:paraId="13242731" w14:textId="5519D870" w:rsidR="00295EC5" w:rsidRDefault="00295EC5" w:rsidP="00290150">
      <w:pPr>
        <w:pStyle w:val="LGTdoc1"/>
        <w:spacing w:beforeLines="0" w:before="120" w:after="220" w:afterAutospacing="0"/>
        <w:rPr>
          <w:b w:val="0"/>
          <w:sz w:val="22"/>
          <w:szCs w:val="22"/>
        </w:rPr>
      </w:pPr>
      <w:r>
        <w:rPr>
          <w:b w:val="0"/>
          <w:sz w:val="22"/>
          <w:szCs w:val="22"/>
        </w:rPr>
        <w:t xml:space="preserve">At the same time, it </w:t>
      </w:r>
      <w:r w:rsidR="0069456C">
        <w:rPr>
          <w:b w:val="0"/>
          <w:sz w:val="22"/>
          <w:szCs w:val="22"/>
        </w:rPr>
        <w:t>may</w:t>
      </w:r>
      <w:r>
        <w:rPr>
          <w:b w:val="0"/>
          <w:sz w:val="22"/>
          <w:szCs w:val="22"/>
        </w:rPr>
        <w:t xml:space="preserve"> be a waste of network resources if the </w:t>
      </w:r>
      <w:proofErr w:type="spellStart"/>
      <w:r>
        <w:rPr>
          <w:b w:val="0"/>
          <w:sz w:val="22"/>
          <w:szCs w:val="22"/>
        </w:rPr>
        <w:t>eNB</w:t>
      </w:r>
      <w:proofErr w:type="spellEnd"/>
      <w:r>
        <w:rPr>
          <w:b w:val="0"/>
          <w:sz w:val="22"/>
          <w:szCs w:val="22"/>
        </w:rPr>
        <w:t xml:space="preserve"> has to transmit NRS even when there is no NB-</w:t>
      </w:r>
      <w:proofErr w:type="spellStart"/>
      <w:r>
        <w:rPr>
          <w:b w:val="0"/>
          <w:sz w:val="22"/>
          <w:szCs w:val="22"/>
        </w:rPr>
        <w:t>IoT</w:t>
      </w:r>
      <w:proofErr w:type="spellEnd"/>
      <w:r>
        <w:rPr>
          <w:b w:val="0"/>
          <w:sz w:val="22"/>
          <w:szCs w:val="22"/>
        </w:rPr>
        <w:t xml:space="preserve"> UE monitoring this non-anchor PRB. For the case of paging, for example, the </w:t>
      </w:r>
      <w:proofErr w:type="spellStart"/>
      <w:r>
        <w:rPr>
          <w:b w:val="0"/>
          <w:sz w:val="22"/>
          <w:szCs w:val="22"/>
        </w:rPr>
        <w:t>eNB</w:t>
      </w:r>
      <w:proofErr w:type="spellEnd"/>
      <w:r>
        <w:rPr>
          <w:b w:val="0"/>
          <w:sz w:val="22"/>
          <w:szCs w:val="22"/>
        </w:rPr>
        <w:t xml:space="preserve"> </w:t>
      </w:r>
      <w:r w:rsidR="0069456C">
        <w:rPr>
          <w:b w:val="0"/>
          <w:sz w:val="22"/>
          <w:szCs w:val="22"/>
        </w:rPr>
        <w:t xml:space="preserve">may assume that there are no UEs monitoring this non-anchor PRB if the current </w:t>
      </w:r>
      <w:proofErr w:type="spellStart"/>
      <w:r w:rsidR="0069456C">
        <w:rPr>
          <w:b w:val="0"/>
          <w:sz w:val="22"/>
          <w:szCs w:val="22"/>
        </w:rPr>
        <w:t>subframe</w:t>
      </w:r>
      <w:proofErr w:type="spellEnd"/>
      <w:r w:rsidR="0069456C">
        <w:rPr>
          <w:b w:val="0"/>
          <w:sz w:val="22"/>
          <w:szCs w:val="22"/>
        </w:rPr>
        <w:t xml:space="preserve"> is not </w:t>
      </w:r>
      <w:r w:rsidR="0069456C">
        <w:rPr>
          <w:b w:val="0"/>
          <w:i/>
          <w:sz w:val="22"/>
          <w:szCs w:val="22"/>
        </w:rPr>
        <w:t xml:space="preserve">close </w:t>
      </w:r>
      <w:r w:rsidR="0069456C" w:rsidRPr="0069456C">
        <w:rPr>
          <w:b w:val="0"/>
          <w:sz w:val="22"/>
          <w:szCs w:val="22"/>
        </w:rPr>
        <w:t xml:space="preserve">to </w:t>
      </w:r>
      <w:r>
        <w:rPr>
          <w:b w:val="0"/>
          <w:sz w:val="22"/>
          <w:szCs w:val="22"/>
        </w:rPr>
        <w:t xml:space="preserve">any paging occasion. The definition of </w:t>
      </w:r>
      <w:r>
        <w:rPr>
          <w:b w:val="0"/>
          <w:i/>
          <w:sz w:val="22"/>
          <w:szCs w:val="22"/>
        </w:rPr>
        <w:t>close</w:t>
      </w:r>
      <w:r>
        <w:rPr>
          <w:b w:val="0"/>
          <w:sz w:val="22"/>
          <w:szCs w:val="22"/>
        </w:rPr>
        <w:t xml:space="preserve"> should allow for the following:</w:t>
      </w:r>
    </w:p>
    <w:p w14:paraId="73284C90" w14:textId="4B6D794A" w:rsidR="00295EC5" w:rsidRDefault="00295EC5" w:rsidP="00295EC5">
      <w:pPr>
        <w:pStyle w:val="LGTdoc1"/>
        <w:numPr>
          <w:ilvl w:val="0"/>
          <w:numId w:val="16"/>
        </w:numPr>
        <w:spacing w:beforeLines="0" w:before="120" w:after="220" w:afterAutospacing="0"/>
        <w:rPr>
          <w:b w:val="0"/>
          <w:sz w:val="22"/>
          <w:szCs w:val="22"/>
        </w:rPr>
      </w:pPr>
      <w:r>
        <w:rPr>
          <w:b w:val="0"/>
          <w:sz w:val="22"/>
          <w:szCs w:val="22"/>
        </w:rPr>
        <w:t>There is no UE using NRS to decode NPDCCH (this is related to the longest NPDCCH candidate).</w:t>
      </w:r>
    </w:p>
    <w:p w14:paraId="6F091B69" w14:textId="34CECD6D" w:rsidR="00295EC5" w:rsidRDefault="00295EC5" w:rsidP="00295EC5">
      <w:pPr>
        <w:pStyle w:val="LGTdoc1"/>
        <w:numPr>
          <w:ilvl w:val="0"/>
          <w:numId w:val="16"/>
        </w:numPr>
        <w:spacing w:beforeLines="0" w:before="120" w:after="220" w:afterAutospacing="0"/>
        <w:rPr>
          <w:b w:val="0"/>
          <w:sz w:val="22"/>
          <w:szCs w:val="22"/>
        </w:rPr>
      </w:pPr>
      <w:r>
        <w:rPr>
          <w:b w:val="0"/>
          <w:sz w:val="22"/>
          <w:szCs w:val="22"/>
        </w:rPr>
        <w:t xml:space="preserve">There is no UE using NRS to </w:t>
      </w:r>
      <w:r>
        <w:rPr>
          <w:b w:val="0"/>
          <w:i/>
          <w:sz w:val="22"/>
          <w:szCs w:val="22"/>
        </w:rPr>
        <w:t xml:space="preserve">warm-up </w:t>
      </w:r>
      <w:r>
        <w:rPr>
          <w:b w:val="0"/>
          <w:sz w:val="22"/>
          <w:szCs w:val="22"/>
        </w:rPr>
        <w:t>the channel estimation and tracking loops before the start of the paging occasion.</w:t>
      </w:r>
    </w:p>
    <w:p w14:paraId="2CD6502E" w14:textId="577A221A" w:rsidR="00295EC5" w:rsidRDefault="00295EC5" w:rsidP="00295EC5">
      <w:pPr>
        <w:pStyle w:val="LGTdoc1"/>
        <w:numPr>
          <w:ilvl w:val="0"/>
          <w:numId w:val="16"/>
        </w:numPr>
        <w:spacing w:beforeLines="0" w:before="120" w:after="220" w:afterAutospacing="0"/>
        <w:rPr>
          <w:b w:val="0"/>
          <w:sz w:val="22"/>
          <w:szCs w:val="22"/>
        </w:rPr>
      </w:pPr>
      <w:r>
        <w:rPr>
          <w:b w:val="0"/>
          <w:sz w:val="22"/>
          <w:szCs w:val="22"/>
        </w:rPr>
        <w:t>There is no UE processing NRS while it is decoding NPDCCH.</w:t>
      </w:r>
    </w:p>
    <w:p w14:paraId="6FE5A1B9" w14:textId="2621467F" w:rsidR="00295EC5" w:rsidRDefault="00295EC5" w:rsidP="00295EC5">
      <w:pPr>
        <w:pStyle w:val="LGTdoc1"/>
        <w:spacing w:beforeLines="0" w:before="120" w:after="220" w:afterAutospacing="0"/>
        <w:rPr>
          <w:b w:val="0"/>
          <w:sz w:val="22"/>
          <w:szCs w:val="22"/>
        </w:rPr>
      </w:pPr>
      <w:r>
        <w:rPr>
          <w:b w:val="0"/>
          <w:sz w:val="22"/>
          <w:szCs w:val="22"/>
        </w:rPr>
        <w:t xml:space="preserve">Additionally, if a paging record is transmitted, the NPDSCH </w:t>
      </w:r>
      <w:proofErr w:type="spellStart"/>
      <w:r>
        <w:rPr>
          <w:b w:val="0"/>
          <w:sz w:val="22"/>
          <w:szCs w:val="22"/>
        </w:rPr>
        <w:t>subframes</w:t>
      </w:r>
      <w:proofErr w:type="spellEnd"/>
      <w:r>
        <w:rPr>
          <w:b w:val="0"/>
          <w:sz w:val="22"/>
          <w:szCs w:val="22"/>
        </w:rPr>
        <w:t xml:space="preserve"> should also contain NRS. In Figure 1 we show the time interval in which NRS should be present. If some </w:t>
      </w:r>
      <w:proofErr w:type="spellStart"/>
      <w:r>
        <w:rPr>
          <w:b w:val="0"/>
          <w:sz w:val="22"/>
          <w:szCs w:val="22"/>
        </w:rPr>
        <w:t>subframes</w:t>
      </w:r>
      <w:proofErr w:type="spellEnd"/>
      <w:r>
        <w:rPr>
          <w:b w:val="0"/>
          <w:sz w:val="22"/>
          <w:szCs w:val="22"/>
        </w:rPr>
        <w:t xml:space="preserve"> are invalid the same rules as in the anchor PRB would apply: the NPDCCH would be postponed, and no NRS would be present in that particular </w:t>
      </w:r>
      <w:proofErr w:type="spellStart"/>
      <w:r>
        <w:rPr>
          <w:b w:val="0"/>
          <w:sz w:val="22"/>
          <w:szCs w:val="22"/>
        </w:rPr>
        <w:t>subframe</w:t>
      </w:r>
      <w:proofErr w:type="spellEnd"/>
      <w:r>
        <w:rPr>
          <w:b w:val="0"/>
          <w:sz w:val="22"/>
          <w:szCs w:val="22"/>
        </w:rPr>
        <w:t>.</w:t>
      </w:r>
    </w:p>
    <w:p w14:paraId="5EC43359" w14:textId="77777777" w:rsidR="00295EC5" w:rsidRDefault="00295EC5" w:rsidP="00295EC5">
      <w:pPr>
        <w:pStyle w:val="LGTdoc1"/>
        <w:keepNext/>
        <w:spacing w:beforeLines="0" w:before="120" w:after="220" w:afterAutospacing="0"/>
        <w:jc w:val="center"/>
      </w:pPr>
      <w:r w:rsidRPr="00C67F43">
        <w:rPr>
          <w:rFonts w:ascii="Arial" w:hAnsi="Arial" w:cs="Arial"/>
          <w:lang w:val="en-US"/>
        </w:rPr>
        <w:object w:dxaOrig="11580" w:dyaOrig="7119" w14:anchorId="1A703C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280pt" o:ole="">
            <v:imagedata r:id="rId14" o:title=""/>
          </v:shape>
          <o:OLEObject Type="Embed" ProgID="Visio.Drawing.11" ShapeID="_x0000_i1025" DrawAspect="Content" ObjectID="_1547660092" r:id="rId15"/>
        </w:object>
      </w:r>
    </w:p>
    <w:p w14:paraId="27F2BDD7" w14:textId="77777777" w:rsidR="00295EC5" w:rsidRDefault="00295EC5" w:rsidP="00295EC5">
      <w:pPr>
        <w:pStyle w:val="Caption"/>
        <w:ind w:left="720" w:firstLine="80"/>
        <w:jc w:val="center"/>
        <w:rPr>
          <w:rFonts w:ascii="Arial" w:hAnsi="Arial" w:cs="Arial"/>
          <w:lang w:val="en-US"/>
        </w:rPr>
      </w:pPr>
      <w:r>
        <w:t xml:space="preserve">Figure </w:t>
      </w:r>
      <w:r>
        <w:fldChar w:fldCharType="begin"/>
      </w:r>
      <w:r>
        <w:instrText xml:space="preserve"> SEQ Figure \* ARABIC </w:instrText>
      </w:r>
      <w:r>
        <w:fldChar w:fldCharType="separate"/>
      </w:r>
      <w:r>
        <w:rPr>
          <w:noProof/>
        </w:rPr>
        <w:t>1</w:t>
      </w:r>
      <w:r>
        <w:fldChar w:fldCharType="end"/>
      </w:r>
      <w:r>
        <w:t xml:space="preserve"> Presence of NRS around a paging occasion</w:t>
      </w:r>
    </w:p>
    <w:p w14:paraId="5CEA0FE2" w14:textId="77777777" w:rsidR="00295EC5" w:rsidRPr="00295EC5" w:rsidRDefault="00295EC5" w:rsidP="00295EC5">
      <w:pPr>
        <w:pStyle w:val="LGTdoc1"/>
        <w:spacing w:beforeLines="0" w:before="120" w:after="220" w:afterAutospacing="0"/>
        <w:rPr>
          <w:b w:val="0"/>
          <w:sz w:val="22"/>
          <w:szCs w:val="22"/>
          <w:lang w:val="en-US"/>
        </w:rPr>
      </w:pPr>
    </w:p>
    <w:p w14:paraId="583CA79A" w14:textId="77777777" w:rsidR="00295EC5" w:rsidRDefault="00295EC5" w:rsidP="00290150">
      <w:pPr>
        <w:pStyle w:val="LGTdoc1"/>
        <w:spacing w:beforeLines="0" w:before="120" w:after="220" w:afterAutospacing="0"/>
        <w:rPr>
          <w:sz w:val="22"/>
          <w:szCs w:val="22"/>
          <w:u w:val="single"/>
        </w:rPr>
      </w:pPr>
    </w:p>
    <w:p w14:paraId="659A3D3E" w14:textId="77777777" w:rsidR="00295EC5" w:rsidRDefault="00295EC5" w:rsidP="00290150">
      <w:pPr>
        <w:pStyle w:val="LGTdoc1"/>
        <w:spacing w:beforeLines="0" w:before="120" w:after="220" w:afterAutospacing="0"/>
        <w:rPr>
          <w:sz w:val="22"/>
          <w:szCs w:val="22"/>
          <w:u w:val="single"/>
        </w:rPr>
      </w:pPr>
    </w:p>
    <w:p w14:paraId="50C39731" w14:textId="41CC3C14" w:rsidR="00295EC5" w:rsidRPr="00295EC5" w:rsidRDefault="00295EC5" w:rsidP="00290150">
      <w:pPr>
        <w:pStyle w:val="LGTdoc1"/>
        <w:spacing w:beforeLines="0" w:before="120" w:after="220" w:afterAutospacing="0"/>
        <w:rPr>
          <w:b w:val="0"/>
          <w:sz w:val="22"/>
          <w:szCs w:val="22"/>
        </w:rPr>
      </w:pPr>
      <w:r w:rsidRPr="00295EC5">
        <w:rPr>
          <w:b w:val="0"/>
          <w:sz w:val="22"/>
          <w:szCs w:val="22"/>
        </w:rPr>
        <w:t xml:space="preserve">A similar </w:t>
      </w:r>
      <w:r>
        <w:rPr>
          <w:b w:val="0"/>
          <w:sz w:val="22"/>
          <w:szCs w:val="22"/>
        </w:rPr>
        <w:t>idea can be applied for the RAR monitoring</w:t>
      </w:r>
      <w:r w:rsidR="00692DEC">
        <w:rPr>
          <w:b w:val="0"/>
          <w:sz w:val="22"/>
          <w:szCs w:val="22"/>
        </w:rPr>
        <w:t>, with the additional constraint that the frequency/time tracking has to be accurate enough for the next NPRACH transmission</w:t>
      </w:r>
      <w:r>
        <w:rPr>
          <w:b w:val="0"/>
          <w:sz w:val="22"/>
          <w:szCs w:val="22"/>
        </w:rPr>
        <w:t>. In view of this reasoning, we make the following proposals:</w:t>
      </w:r>
    </w:p>
    <w:p w14:paraId="29F69D0F" w14:textId="0C4D6166" w:rsidR="00295EC5" w:rsidRDefault="00295EC5" w:rsidP="00290150">
      <w:pPr>
        <w:pStyle w:val="LGTdoc1"/>
        <w:spacing w:beforeLines="0" w:before="120" w:after="220" w:afterAutospacing="0"/>
        <w:rPr>
          <w:sz w:val="22"/>
          <w:szCs w:val="22"/>
        </w:rPr>
      </w:pPr>
      <w:r>
        <w:rPr>
          <w:sz w:val="22"/>
          <w:szCs w:val="22"/>
          <w:u w:val="single"/>
        </w:rPr>
        <w:t xml:space="preserve">Proposal </w:t>
      </w:r>
      <w:r w:rsidR="00CB67B9">
        <w:rPr>
          <w:sz w:val="22"/>
          <w:szCs w:val="22"/>
          <w:u w:val="single"/>
        </w:rPr>
        <w:t>3</w:t>
      </w:r>
      <w:r>
        <w:rPr>
          <w:sz w:val="22"/>
          <w:szCs w:val="22"/>
          <w:u w:val="single"/>
        </w:rPr>
        <w:t>:</w:t>
      </w:r>
      <w:r>
        <w:rPr>
          <w:sz w:val="22"/>
          <w:szCs w:val="22"/>
        </w:rPr>
        <w:t xml:space="preserve"> For paging monitoring, the UE can assume that NRS is present at least during the following:</w:t>
      </w:r>
    </w:p>
    <w:p w14:paraId="4FE37B75" w14:textId="07F80424" w:rsidR="00295EC5" w:rsidRDefault="00295EC5" w:rsidP="00295EC5">
      <w:pPr>
        <w:pStyle w:val="LGTdoc1"/>
        <w:numPr>
          <w:ilvl w:val="0"/>
          <w:numId w:val="16"/>
        </w:numPr>
        <w:spacing w:beforeLines="0" w:before="120" w:after="220" w:afterAutospacing="0"/>
        <w:rPr>
          <w:sz w:val="22"/>
          <w:szCs w:val="22"/>
        </w:rPr>
      </w:pPr>
      <w:r w:rsidRPr="00295EC5">
        <w:rPr>
          <w:i/>
          <w:sz w:val="22"/>
          <w:szCs w:val="22"/>
        </w:rPr>
        <w:t>M</w:t>
      </w:r>
      <w:r>
        <w:rPr>
          <w:sz w:val="22"/>
          <w:szCs w:val="22"/>
        </w:rPr>
        <w:t xml:space="preserve"> </w:t>
      </w:r>
      <w:proofErr w:type="spellStart"/>
      <w:r>
        <w:rPr>
          <w:sz w:val="22"/>
          <w:szCs w:val="22"/>
        </w:rPr>
        <w:t>subframes</w:t>
      </w:r>
      <w:proofErr w:type="spellEnd"/>
      <w:r>
        <w:rPr>
          <w:sz w:val="22"/>
          <w:szCs w:val="22"/>
        </w:rPr>
        <w:t xml:space="preserve"> before a paging occasion</w:t>
      </w:r>
    </w:p>
    <w:p w14:paraId="5CB4EB79" w14:textId="127ED4BE" w:rsidR="00295EC5" w:rsidRDefault="00295EC5" w:rsidP="00295EC5">
      <w:pPr>
        <w:pStyle w:val="LGTdoc1"/>
        <w:numPr>
          <w:ilvl w:val="0"/>
          <w:numId w:val="16"/>
        </w:numPr>
        <w:spacing w:beforeLines="0" w:before="120" w:after="220" w:afterAutospacing="0"/>
        <w:rPr>
          <w:sz w:val="22"/>
          <w:szCs w:val="22"/>
        </w:rPr>
      </w:pPr>
      <w:r>
        <w:rPr>
          <w:sz w:val="22"/>
          <w:szCs w:val="22"/>
        </w:rPr>
        <w:t xml:space="preserve">After the paging occasion, for a duration of </w:t>
      </w:r>
      <w:proofErr w:type="spellStart"/>
      <w:r>
        <w:rPr>
          <w:sz w:val="22"/>
          <w:szCs w:val="22"/>
        </w:rPr>
        <w:t>subframes</w:t>
      </w:r>
      <w:proofErr w:type="spellEnd"/>
      <w:r>
        <w:rPr>
          <w:sz w:val="22"/>
          <w:szCs w:val="22"/>
        </w:rPr>
        <w:t xml:space="preserve"> equivalent to the longest NPDCCH candidate</w:t>
      </w:r>
    </w:p>
    <w:p w14:paraId="41847B66" w14:textId="6350C5D3" w:rsidR="00295EC5" w:rsidRDefault="00295EC5" w:rsidP="00295EC5">
      <w:pPr>
        <w:pStyle w:val="LGTdoc1"/>
        <w:numPr>
          <w:ilvl w:val="0"/>
          <w:numId w:val="16"/>
        </w:numPr>
        <w:spacing w:beforeLines="0" w:before="120" w:after="220" w:afterAutospacing="0"/>
        <w:rPr>
          <w:sz w:val="22"/>
          <w:szCs w:val="22"/>
        </w:rPr>
      </w:pPr>
      <w:r>
        <w:rPr>
          <w:i/>
          <w:sz w:val="22"/>
          <w:szCs w:val="22"/>
        </w:rPr>
        <w:t>N</w:t>
      </w:r>
      <w:r>
        <w:rPr>
          <w:sz w:val="22"/>
          <w:szCs w:val="22"/>
        </w:rPr>
        <w:t xml:space="preserve"> </w:t>
      </w:r>
      <w:proofErr w:type="spellStart"/>
      <w:r>
        <w:rPr>
          <w:sz w:val="22"/>
          <w:szCs w:val="22"/>
        </w:rPr>
        <w:t>subframes</w:t>
      </w:r>
      <w:proofErr w:type="spellEnd"/>
      <w:r>
        <w:rPr>
          <w:sz w:val="22"/>
          <w:szCs w:val="22"/>
        </w:rPr>
        <w:t xml:space="preserve"> after the end of the previous duration.</w:t>
      </w:r>
    </w:p>
    <w:p w14:paraId="66C07844" w14:textId="45C6D46C" w:rsidR="00295EC5" w:rsidRDefault="00295EC5" w:rsidP="00295EC5">
      <w:pPr>
        <w:pStyle w:val="LGTdoc1"/>
        <w:spacing w:beforeLines="0" w:before="120" w:after="220" w:afterAutospacing="0"/>
        <w:rPr>
          <w:sz w:val="22"/>
          <w:szCs w:val="22"/>
        </w:rPr>
      </w:pPr>
      <w:r>
        <w:rPr>
          <w:sz w:val="22"/>
          <w:szCs w:val="22"/>
          <w:u w:val="single"/>
        </w:rPr>
        <w:t xml:space="preserve">Proposal </w:t>
      </w:r>
      <w:r w:rsidR="00CB67B9">
        <w:rPr>
          <w:sz w:val="22"/>
          <w:szCs w:val="22"/>
          <w:u w:val="single"/>
        </w:rPr>
        <w:t>4</w:t>
      </w:r>
      <w:r>
        <w:rPr>
          <w:sz w:val="22"/>
          <w:szCs w:val="22"/>
          <w:u w:val="single"/>
        </w:rPr>
        <w:t>:</w:t>
      </w:r>
      <w:r>
        <w:rPr>
          <w:sz w:val="22"/>
          <w:szCs w:val="22"/>
        </w:rPr>
        <w:t xml:space="preserve"> For RAR monitoring, the UE can assume that NRS is present at least during the following:</w:t>
      </w:r>
    </w:p>
    <w:p w14:paraId="00D2A984" w14:textId="620240D7" w:rsidR="00295EC5" w:rsidRDefault="00295EC5" w:rsidP="00295EC5">
      <w:pPr>
        <w:pStyle w:val="LGTdoc1"/>
        <w:numPr>
          <w:ilvl w:val="0"/>
          <w:numId w:val="16"/>
        </w:numPr>
        <w:spacing w:beforeLines="0" w:before="120" w:after="220" w:afterAutospacing="0"/>
        <w:rPr>
          <w:sz w:val="22"/>
          <w:szCs w:val="22"/>
        </w:rPr>
      </w:pPr>
      <w:r w:rsidRPr="00295EC5">
        <w:rPr>
          <w:i/>
          <w:sz w:val="22"/>
          <w:szCs w:val="22"/>
        </w:rPr>
        <w:t>M</w:t>
      </w:r>
      <w:r>
        <w:rPr>
          <w:sz w:val="22"/>
          <w:szCs w:val="22"/>
        </w:rPr>
        <w:t xml:space="preserve"> </w:t>
      </w:r>
      <w:proofErr w:type="spellStart"/>
      <w:r>
        <w:rPr>
          <w:sz w:val="22"/>
          <w:szCs w:val="22"/>
        </w:rPr>
        <w:t>subframes</w:t>
      </w:r>
      <w:proofErr w:type="spellEnd"/>
      <w:r>
        <w:rPr>
          <w:sz w:val="22"/>
          <w:szCs w:val="22"/>
        </w:rPr>
        <w:t xml:space="preserve"> before the start of a RAR window</w:t>
      </w:r>
    </w:p>
    <w:p w14:paraId="2CBDD424" w14:textId="2779B599" w:rsidR="00295EC5" w:rsidRDefault="00295EC5" w:rsidP="00295EC5">
      <w:pPr>
        <w:pStyle w:val="LGTdoc1"/>
        <w:numPr>
          <w:ilvl w:val="0"/>
          <w:numId w:val="16"/>
        </w:numPr>
        <w:spacing w:beforeLines="0" w:before="120" w:after="220" w:afterAutospacing="0"/>
        <w:rPr>
          <w:sz w:val="22"/>
          <w:szCs w:val="22"/>
        </w:rPr>
      </w:pPr>
      <w:r>
        <w:rPr>
          <w:sz w:val="22"/>
          <w:szCs w:val="22"/>
        </w:rPr>
        <w:t xml:space="preserve">After the start of the RAR window, for a duration of </w:t>
      </w:r>
      <w:proofErr w:type="spellStart"/>
      <w:r>
        <w:rPr>
          <w:sz w:val="22"/>
          <w:szCs w:val="22"/>
        </w:rPr>
        <w:t>subframes</w:t>
      </w:r>
      <w:proofErr w:type="spellEnd"/>
      <w:r>
        <w:rPr>
          <w:sz w:val="22"/>
          <w:szCs w:val="22"/>
        </w:rPr>
        <w:t xml:space="preserve"> equivalent to the longest NPDCCH candidate + RAR window length.</w:t>
      </w:r>
    </w:p>
    <w:p w14:paraId="098042D9" w14:textId="77777777" w:rsidR="00295EC5" w:rsidRPr="00295EC5" w:rsidRDefault="00295EC5" w:rsidP="00295EC5">
      <w:pPr>
        <w:pStyle w:val="LGTdoc1"/>
        <w:numPr>
          <w:ilvl w:val="0"/>
          <w:numId w:val="16"/>
        </w:numPr>
        <w:spacing w:beforeLines="0" w:before="120" w:after="220" w:afterAutospacing="0"/>
        <w:rPr>
          <w:sz w:val="22"/>
          <w:szCs w:val="22"/>
        </w:rPr>
      </w:pPr>
      <w:r>
        <w:rPr>
          <w:i/>
          <w:sz w:val="22"/>
          <w:szCs w:val="22"/>
        </w:rPr>
        <w:t>N</w:t>
      </w:r>
      <w:r>
        <w:rPr>
          <w:sz w:val="22"/>
          <w:szCs w:val="22"/>
        </w:rPr>
        <w:t xml:space="preserve"> </w:t>
      </w:r>
      <w:proofErr w:type="spellStart"/>
      <w:r>
        <w:rPr>
          <w:sz w:val="22"/>
          <w:szCs w:val="22"/>
        </w:rPr>
        <w:t>subframes</w:t>
      </w:r>
      <w:proofErr w:type="spellEnd"/>
      <w:r>
        <w:rPr>
          <w:sz w:val="22"/>
          <w:szCs w:val="22"/>
        </w:rPr>
        <w:t xml:space="preserve"> after the end of the previous duration.</w:t>
      </w:r>
    </w:p>
    <w:p w14:paraId="568FD3E2" w14:textId="77777777" w:rsidR="00295EC5" w:rsidRPr="00295EC5" w:rsidRDefault="00295EC5" w:rsidP="00295EC5">
      <w:pPr>
        <w:pStyle w:val="LGTdoc1"/>
        <w:spacing w:beforeLines="0" w:before="120" w:after="220" w:afterAutospacing="0"/>
        <w:rPr>
          <w:sz w:val="22"/>
          <w:szCs w:val="22"/>
        </w:rPr>
      </w:pPr>
    </w:p>
    <w:p w14:paraId="2AAAFB8C" w14:textId="77777777" w:rsidR="00C67F43" w:rsidRDefault="00C67F43" w:rsidP="00C67F43">
      <w:pPr>
        <w:pStyle w:val="LGTdoc1"/>
        <w:spacing w:beforeLines="0" w:before="120" w:after="220" w:afterAutospacing="0"/>
        <w:ind w:left="432"/>
        <w:rPr>
          <w:rFonts w:ascii="Arial" w:hAnsi="Arial" w:cs="Arial"/>
          <w:lang w:val="en-US"/>
        </w:rPr>
      </w:pPr>
    </w:p>
    <w:p w14:paraId="53299332" w14:textId="77777777" w:rsidR="00692DEC" w:rsidRDefault="00692DEC" w:rsidP="00C67F43">
      <w:pPr>
        <w:pStyle w:val="LGTdoc1"/>
        <w:spacing w:beforeLines="0" w:before="120" w:after="220" w:afterAutospacing="0"/>
        <w:ind w:left="432"/>
        <w:rPr>
          <w:rFonts w:ascii="Arial" w:hAnsi="Arial" w:cs="Arial"/>
          <w:lang w:val="en-US"/>
        </w:rPr>
      </w:pPr>
    </w:p>
    <w:p w14:paraId="10A1AA18" w14:textId="2C844273" w:rsidR="0047204B" w:rsidRDefault="0047204B" w:rsidP="001A1D1C">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lastRenderedPageBreak/>
        <w:t>Summary</w:t>
      </w:r>
    </w:p>
    <w:bookmarkEnd w:id="0"/>
    <w:bookmarkEnd w:id="1"/>
    <w:p w14:paraId="240C62DF" w14:textId="77777777" w:rsidR="00CB67B9" w:rsidRPr="00CB67B9" w:rsidRDefault="00CB67B9" w:rsidP="00CB67B9">
      <w:pPr>
        <w:pStyle w:val="LGTdoc1"/>
        <w:spacing w:beforeLines="0" w:before="120" w:after="220" w:afterAutospacing="0"/>
        <w:rPr>
          <w:sz w:val="22"/>
          <w:szCs w:val="22"/>
        </w:rPr>
      </w:pPr>
      <w:r w:rsidRPr="00CB67B9">
        <w:rPr>
          <w:sz w:val="22"/>
          <w:szCs w:val="22"/>
          <w:u w:val="single"/>
        </w:rPr>
        <w:t>Observation 1:</w:t>
      </w:r>
      <w:r>
        <w:rPr>
          <w:sz w:val="22"/>
          <w:szCs w:val="22"/>
          <w:u w:val="single"/>
        </w:rPr>
        <w:t xml:space="preserve"> </w:t>
      </w:r>
      <w:r w:rsidRPr="00CB67B9">
        <w:rPr>
          <w:sz w:val="22"/>
          <w:szCs w:val="22"/>
        </w:rPr>
        <w:t>From UE</w:t>
      </w:r>
      <w:r>
        <w:rPr>
          <w:sz w:val="22"/>
          <w:szCs w:val="22"/>
        </w:rPr>
        <w:t xml:space="preserve"> power consumption perspective, it is beneficial to perform measurements while decoding paging.</w:t>
      </w:r>
    </w:p>
    <w:p w14:paraId="22574621" w14:textId="77777777" w:rsidR="00CB67B9" w:rsidRDefault="00CB67B9" w:rsidP="00CB67B9">
      <w:pPr>
        <w:pStyle w:val="LGTdoc1"/>
        <w:spacing w:beforeLines="0" w:before="120" w:after="220" w:afterAutospacing="0"/>
        <w:rPr>
          <w:sz w:val="22"/>
          <w:szCs w:val="22"/>
        </w:rPr>
      </w:pPr>
      <w:r w:rsidRPr="00687B88">
        <w:rPr>
          <w:sz w:val="22"/>
          <w:szCs w:val="22"/>
          <w:u w:val="single"/>
        </w:rPr>
        <w:t>Proposal 1:</w:t>
      </w:r>
      <w:r>
        <w:rPr>
          <w:sz w:val="22"/>
          <w:szCs w:val="22"/>
          <w:u w:val="single"/>
        </w:rPr>
        <w:t xml:space="preserve"> </w:t>
      </w:r>
      <w:r>
        <w:rPr>
          <w:sz w:val="22"/>
          <w:szCs w:val="22"/>
        </w:rPr>
        <w:t>From RAN1 perspective, it is beneficial to be able to perform measurements in the non-anchor carriers to decrease power consumption. The RSRP/RSRQ can refer to the anchor carrier (for mobility/cell reselection), but these values can be obtained by measuring in the non-anchor carrier and applying the power offset between NRS.</w:t>
      </w:r>
    </w:p>
    <w:p w14:paraId="092A2DD8" w14:textId="77777777" w:rsidR="00CB67B9" w:rsidRPr="00687B88" w:rsidRDefault="00CB67B9" w:rsidP="00CB67B9">
      <w:pPr>
        <w:pStyle w:val="LGTdoc1"/>
        <w:spacing w:beforeLines="0" w:before="120" w:after="220" w:afterAutospacing="0"/>
        <w:rPr>
          <w:sz w:val="22"/>
          <w:szCs w:val="22"/>
        </w:rPr>
      </w:pPr>
      <w:r w:rsidRPr="00687B88">
        <w:rPr>
          <w:sz w:val="22"/>
          <w:szCs w:val="22"/>
          <w:u w:val="single"/>
        </w:rPr>
        <w:t xml:space="preserve">Proposal 2: </w:t>
      </w:r>
      <w:r>
        <w:rPr>
          <w:sz w:val="22"/>
          <w:szCs w:val="22"/>
        </w:rPr>
        <w:t>Send an LS to RAN2 with the previous proposal.</w:t>
      </w:r>
    </w:p>
    <w:p w14:paraId="3D931F76" w14:textId="6DF243A3" w:rsidR="00295EC5" w:rsidRDefault="00CB67B9" w:rsidP="00295EC5">
      <w:pPr>
        <w:pStyle w:val="LGTdoc1"/>
        <w:spacing w:beforeLines="0" w:before="120" w:after="220" w:afterAutospacing="0"/>
        <w:rPr>
          <w:sz w:val="22"/>
          <w:szCs w:val="22"/>
        </w:rPr>
      </w:pPr>
      <w:r>
        <w:rPr>
          <w:sz w:val="22"/>
          <w:szCs w:val="22"/>
          <w:u w:val="single"/>
        </w:rPr>
        <w:t>Proposal 3</w:t>
      </w:r>
      <w:r w:rsidR="00295EC5">
        <w:rPr>
          <w:sz w:val="22"/>
          <w:szCs w:val="22"/>
          <w:u w:val="single"/>
        </w:rPr>
        <w:t>:</w:t>
      </w:r>
      <w:r w:rsidR="00295EC5">
        <w:rPr>
          <w:sz w:val="22"/>
          <w:szCs w:val="22"/>
        </w:rPr>
        <w:t xml:space="preserve"> For paging monitoring, the UE can assume that NRS is present at least during the following:</w:t>
      </w:r>
    </w:p>
    <w:p w14:paraId="502AD7FE" w14:textId="77777777" w:rsidR="00295EC5" w:rsidRDefault="00295EC5" w:rsidP="00295EC5">
      <w:pPr>
        <w:pStyle w:val="LGTdoc1"/>
        <w:numPr>
          <w:ilvl w:val="0"/>
          <w:numId w:val="16"/>
        </w:numPr>
        <w:spacing w:beforeLines="0" w:before="120" w:after="220" w:afterAutospacing="0"/>
        <w:rPr>
          <w:sz w:val="22"/>
          <w:szCs w:val="22"/>
        </w:rPr>
      </w:pPr>
      <w:r w:rsidRPr="00295EC5">
        <w:rPr>
          <w:i/>
          <w:sz w:val="22"/>
          <w:szCs w:val="22"/>
        </w:rPr>
        <w:t>M</w:t>
      </w:r>
      <w:r>
        <w:rPr>
          <w:sz w:val="22"/>
          <w:szCs w:val="22"/>
        </w:rPr>
        <w:t xml:space="preserve"> </w:t>
      </w:r>
      <w:proofErr w:type="spellStart"/>
      <w:r>
        <w:rPr>
          <w:sz w:val="22"/>
          <w:szCs w:val="22"/>
        </w:rPr>
        <w:t>subframes</w:t>
      </w:r>
      <w:proofErr w:type="spellEnd"/>
      <w:r>
        <w:rPr>
          <w:sz w:val="22"/>
          <w:szCs w:val="22"/>
        </w:rPr>
        <w:t xml:space="preserve"> before a paging occasion</w:t>
      </w:r>
    </w:p>
    <w:p w14:paraId="16AD1B38" w14:textId="77777777" w:rsidR="00295EC5" w:rsidRDefault="00295EC5" w:rsidP="00295EC5">
      <w:pPr>
        <w:pStyle w:val="LGTdoc1"/>
        <w:numPr>
          <w:ilvl w:val="0"/>
          <w:numId w:val="16"/>
        </w:numPr>
        <w:spacing w:beforeLines="0" w:before="120" w:after="220" w:afterAutospacing="0"/>
        <w:rPr>
          <w:sz w:val="22"/>
          <w:szCs w:val="22"/>
        </w:rPr>
      </w:pPr>
      <w:r>
        <w:rPr>
          <w:sz w:val="22"/>
          <w:szCs w:val="22"/>
        </w:rPr>
        <w:t xml:space="preserve">After the paging occasion, for a duration of </w:t>
      </w:r>
      <w:proofErr w:type="spellStart"/>
      <w:r>
        <w:rPr>
          <w:sz w:val="22"/>
          <w:szCs w:val="22"/>
        </w:rPr>
        <w:t>subframes</w:t>
      </w:r>
      <w:proofErr w:type="spellEnd"/>
      <w:r>
        <w:rPr>
          <w:sz w:val="22"/>
          <w:szCs w:val="22"/>
        </w:rPr>
        <w:t xml:space="preserve"> equivalent to the longest NPDCCH candidate</w:t>
      </w:r>
    </w:p>
    <w:p w14:paraId="09F9F50F" w14:textId="77777777" w:rsidR="00295EC5" w:rsidRDefault="00295EC5" w:rsidP="00295EC5">
      <w:pPr>
        <w:pStyle w:val="LGTdoc1"/>
        <w:numPr>
          <w:ilvl w:val="0"/>
          <w:numId w:val="16"/>
        </w:numPr>
        <w:spacing w:beforeLines="0" w:before="120" w:after="220" w:afterAutospacing="0"/>
        <w:rPr>
          <w:sz w:val="22"/>
          <w:szCs w:val="22"/>
        </w:rPr>
      </w:pPr>
      <w:r>
        <w:rPr>
          <w:i/>
          <w:sz w:val="22"/>
          <w:szCs w:val="22"/>
        </w:rPr>
        <w:t>N</w:t>
      </w:r>
      <w:r>
        <w:rPr>
          <w:sz w:val="22"/>
          <w:szCs w:val="22"/>
        </w:rPr>
        <w:t xml:space="preserve"> </w:t>
      </w:r>
      <w:proofErr w:type="spellStart"/>
      <w:r>
        <w:rPr>
          <w:sz w:val="22"/>
          <w:szCs w:val="22"/>
        </w:rPr>
        <w:t>subframes</w:t>
      </w:r>
      <w:proofErr w:type="spellEnd"/>
      <w:r>
        <w:rPr>
          <w:sz w:val="22"/>
          <w:szCs w:val="22"/>
        </w:rPr>
        <w:t xml:space="preserve"> after the end of the previous duration.</w:t>
      </w:r>
    </w:p>
    <w:p w14:paraId="553AFF63" w14:textId="2F9FC511" w:rsidR="00295EC5" w:rsidRDefault="00295EC5" w:rsidP="00295EC5">
      <w:pPr>
        <w:pStyle w:val="LGTdoc1"/>
        <w:spacing w:beforeLines="0" w:before="120" w:after="220" w:afterAutospacing="0"/>
        <w:rPr>
          <w:sz w:val="22"/>
          <w:szCs w:val="22"/>
        </w:rPr>
      </w:pPr>
      <w:r>
        <w:rPr>
          <w:sz w:val="22"/>
          <w:szCs w:val="22"/>
          <w:u w:val="single"/>
        </w:rPr>
        <w:t xml:space="preserve">Proposal </w:t>
      </w:r>
      <w:r w:rsidR="00CB67B9">
        <w:rPr>
          <w:sz w:val="22"/>
          <w:szCs w:val="22"/>
          <w:u w:val="single"/>
        </w:rPr>
        <w:t>4</w:t>
      </w:r>
      <w:r>
        <w:rPr>
          <w:sz w:val="22"/>
          <w:szCs w:val="22"/>
          <w:u w:val="single"/>
        </w:rPr>
        <w:t>:</w:t>
      </w:r>
      <w:r>
        <w:rPr>
          <w:sz w:val="22"/>
          <w:szCs w:val="22"/>
        </w:rPr>
        <w:t xml:space="preserve"> For RAR monitoring, the UE can assume that NRS is present at least during the following:</w:t>
      </w:r>
    </w:p>
    <w:p w14:paraId="536468FB" w14:textId="77777777" w:rsidR="00295EC5" w:rsidRDefault="00295EC5" w:rsidP="00295EC5">
      <w:pPr>
        <w:pStyle w:val="LGTdoc1"/>
        <w:numPr>
          <w:ilvl w:val="0"/>
          <w:numId w:val="16"/>
        </w:numPr>
        <w:spacing w:beforeLines="0" w:before="120" w:after="220" w:afterAutospacing="0"/>
        <w:rPr>
          <w:sz w:val="22"/>
          <w:szCs w:val="22"/>
        </w:rPr>
      </w:pPr>
      <w:r w:rsidRPr="00295EC5">
        <w:rPr>
          <w:i/>
          <w:sz w:val="22"/>
          <w:szCs w:val="22"/>
        </w:rPr>
        <w:t>M</w:t>
      </w:r>
      <w:r>
        <w:rPr>
          <w:sz w:val="22"/>
          <w:szCs w:val="22"/>
        </w:rPr>
        <w:t xml:space="preserve"> </w:t>
      </w:r>
      <w:proofErr w:type="spellStart"/>
      <w:r>
        <w:rPr>
          <w:sz w:val="22"/>
          <w:szCs w:val="22"/>
        </w:rPr>
        <w:t>subframes</w:t>
      </w:r>
      <w:proofErr w:type="spellEnd"/>
      <w:r>
        <w:rPr>
          <w:sz w:val="22"/>
          <w:szCs w:val="22"/>
        </w:rPr>
        <w:t xml:space="preserve"> before the start of a RAR window</w:t>
      </w:r>
    </w:p>
    <w:p w14:paraId="4E1C543A" w14:textId="77777777" w:rsidR="00295EC5" w:rsidRDefault="00295EC5" w:rsidP="00295EC5">
      <w:pPr>
        <w:pStyle w:val="LGTdoc1"/>
        <w:numPr>
          <w:ilvl w:val="0"/>
          <w:numId w:val="16"/>
        </w:numPr>
        <w:spacing w:beforeLines="0" w:before="120" w:after="220" w:afterAutospacing="0"/>
        <w:rPr>
          <w:sz w:val="22"/>
          <w:szCs w:val="22"/>
        </w:rPr>
      </w:pPr>
      <w:r>
        <w:rPr>
          <w:sz w:val="22"/>
          <w:szCs w:val="22"/>
        </w:rPr>
        <w:t xml:space="preserve">After the start of the RAR window, for a duration of </w:t>
      </w:r>
      <w:proofErr w:type="spellStart"/>
      <w:r>
        <w:rPr>
          <w:sz w:val="22"/>
          <w:szCs w:val="22"/>
        </w:rPr>
        <w:t>subframes</w:t>
      </w:r>
      <w:proofErr w:type="spellEnd"/>
      <w:r>
        <w:rPr>
          <w:sz w:val="22"/>
          <w:szCs w:val="22"/>
        </w:rPr>
        <w:t xml:space="preserve"> equivalent to the longest NPDCCH candidate + RAR window length.</w:t>
      </w:r>
    </w:p>
    <w:p w14:paraId="2FD81641" w14:textId="77777777" w:rsidR="00295EC5" w:rsidRPr="00295EC5" w:rsidRDefault="00295EC5" w:rsidP="00295EC5">
      <w:pPr>
        <w:pStyle w:val="LGTdoc1"/>
        <w:numPr>
          <w:ilvl w:val="0"/>
          <w:numId w:val="16"/>
        </w:numPr>
        <w:spacing w:beforeLines="0" w:before="120" w:after="220" w:afterAutospacing="0"/>
        <w:rPr>
          <w:sz w:val="22"/>
          <w:szCs w:val="22"/>
        </w:rPr>
      </w:pPr>
      <w:r>
        <w:rPr>
          <w:i/>
          <w:sz w:val="22"/>
          <w:szCs w:val="22"/>
        </w:rPr>
        <w:t>N</w:t>
      </w:r>
      <w:r>
        <w:rPr>
          <w:sz w:val="22"/>
          <w:szCs w:val="22"/>
        </w:rPr>
        <w:t xml:space="preserve"> </w:t>
      </w:r>
      <w:proofErr w:type="spellStart"/>
      <w:r>
        <w:rPr>
          <w:sz w:val="22"/>
          <w:szCs w:val="22"/>
        </w:rPr>
        <w:t>subframes</w:t>
      </w:r>
      <w:proofErr w:type="spellEnd"/>
      <w:r>
        <w:rPr>
          <w:sz w:val="22"/>
          <w:szCs w:val="22"/>
        </w:rPr>
        <w:t xml:space="preserve"> after the end of the previous duration.</w:t>
      </w:r>
    </w:p>
    <w:p w14:paraId="18F2BF66" w14:textId="77777777" w:rsidR="00113AF5" w:rsidRDefault="00113AF5" w:rsidP="006F5C8E">
      <w:pPr>
        <w:pStyle w:val="LGTdoc1"/>
        <w:spacing w:beforeLines="0" w:before="120" w:after="220" w:afterAutospacing="0"/>
        <w:rPr>
          <w:b w:val="0"/>
          <w:sz w:val="22"/>
          <w:szCs w:val="22"/>
        </w:rPr>
      </w:pPr>
    </w:p>
    <w:p w14:paraId="5093BF88" w14:textId="77777777" w:rsidR="0069456C" w:rsidRPr="00C872FE" w:rsidRDefault="0069456C" w:rsidP="006F5C8E">
      <w:pPr>
        <w:pStyle w:val="LGTdoc1"/>
        <w:spacing w:beforeLines="0" w:before="120" w:after="220" w:afterAutospacing="0"/>
        <w:rPr>
          <w:b w:val="0"/>
          <w:sz w:val="22"/>
          <w:szCs w:val="22"/>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2DFA7387" w14:textId="04E99910" w:rsidR="007560B7" w:rsidRDefault="00E77804" w:rsidP="00FF47FD">
      <w:pPr>
        <w:pStyle w:val="LGTdoc1"/>
        <w:spacing w:before="120" w:after="220"/>
        <w:rPr>
          <w:b w:val="0"/>
          <w:sz w:val="22"/>
          <w:szCs w:val="22"/>
        </w:rPr>
      </w:pPr>
      <w:r w:rsidRPr="00FF47FD">
        <w:rPr>
          <w:b w:val="0"/>
          <w:sz w:val="22"/>
          <w:szCs w:val="22"/>
        </w:rPr>
        <w:t xml:space="preserve">[1] </w:t>
      </w:r>
      <w:r w:rsidR="0047204B" w:rsidRPr="0047204B">
        <w:rPr>
          <w:b w:val="0"/>
          <w:sz w:val="22"/>
          <w:szCs w:val="22"/>
        </w:rPr>
        <w:t>RP-161324</w:t>
      </w:r>
      <w:r w:rsidRPr="00FF47FD">
        <w:rPr>
          <w:b w:val="0"/>
          <w:sz w:val="22"/>
          <w:szCs w:val="22"/>
        </w:rPr>
        <w:t>, “</w:t>
      </w:r>
      <w:r w:rsidR="0047204B" w:rsidRPr="0047204B">
        <w:rPr>
          <w:b w:val="0"/>
          <w:sz w:val="22"/>
          <w:szCs w:val="22"/>
        </w:rPr>
        <w:t xml:space="preserve">New work item proposal: Enhancements of NB-IoT </w:t>
      </w:r>
      <w:r w:rsidRPr="00FF47FD">
        <w:rPr>
          <w:b w:val="0"/>
          <w:sz w:val="22"/>
          <w:szCs w:val="22"/>
        </w:rPr>
        <w:t>“,</w:t>
      </w:r>
      <w:r w:rsidR="0047204B" w:rsidRPr="0047204B">
        <w:rPr>
          <w:b w:val="0"/>
          <w:sz w:val="22"/>
          <w:szCs w:val="22"/>
        </w:rPr>
        <w:t>Vodafone, Huawei, HiSilicon, Ericsson, Qualcomm</w:t>
      </w:r>
      <w:r w:rsidR="00EF71A8" w:rsidRPr="00FF47FD">
        <w:rPr>
          <w:b w:val="0"/>
          <w:sz w:val="22"/>
          <w:szCs w:val="22"/>
        </w:rPr>
        <w:t xml:space="preserve"> </w:t>
      </w:r>
      <w:r w:rsidR="00FF47FD">
        <w:rPr>
          <w:b w:val="0"/>
          <w:sz w:val="22"/>
          <w:szCs w:val="22"/>
        </w:rPr>
        <w:t xml:space="preserve">3GPP TSG RAN Meeting #72, </w:t>
      </w:r>
      <w:r w:rsidR="00FF47FD" w:rsidRPr="00FF47FD">
        <w:rPr>
          <w:b w:val="0"/>
          <w:sz w:val="22"/>
          <w:szCs w:val="22"/>
        </w:rPr>
        <w:t>Busan, Korea, June 13 - 16, 2016</w:t>
      </w:r>
    </w:p>
    <w:sectPr w:rsidR="007560B7" w:rsidSect="00B47B85">
      <w:footerReference w:type="even" r:id="rId16"/>
      <w:footerReference w:type="default" r:id="rId1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D4D320" w14:textId="77777777" w:rsidR="0093266E" w:rsidRDefault="0093266E">
      <w:r>
        <w:separator/>
      </w:r>
    </w:p>
  </w:endnote>
  <w:endnote w:type="continuationSeparator" w:id="0">
    <w:p w14:paraId="6111B7FB" w14:textId="77777777" w:rsidR="0093266E" w:rsidRDefault="0093266E">
      <w:r>
        <w:continuationSeparator/>
      </w:r>
    </w:p>
  </w:endnote>
  <w:endnote w:type="continuationNotice" w:id="1">
    <w:p w14:paraId="50EDA0DF" w14:textId="77777777" w:rsidR="0093266E" w:rsidRDefault="009326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F363C">
      <w:rPr>
        <w:rStyle w:val="PageNumber"/>
        <w:noProof/>
      </w:rPr>
      <w:t>4</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FC78DA" w14:textId="77777777" w:rsidR="0093266E" w:rsidRDefault="0093266E">
      <w:r>
        <w:separator/>
      </w:r>
    </w:p>
  </w:footnote>
  <w:footnote w:type="continuationSeparator" w:id="0">
    <w:p w14:paraId="0FD1FA5B" w14:textId="77777777" w:rsidR="0093266E" w:rsidRDefault="0093266E">
      <w:r>
        <w:continuationSeparator/>
      </w:r>
    </w:p>
  </w:footnote>
  <w:footnote w:type="continuationNotice" w:id="1">
    <w:p w14:paraId="5347C88E" w14:textId="77777777" w:rsidR="0093266E" w:rsidRDefault="0093266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0ADD0367"/>
    <w:multiLevelType w:val="hybridMultilevel"/>
    <w:tmpl w:val="8C621BF8"/>
    <w:lvl w:ilvl="0" w:tplc="0409000B">
      <w:start w:val="1"/>
      <w:numFmt w:val="bullet"/>
      <w:lvlText w:val=""/>
      <w:lvlJc w:val="left"/>
      <w:pPr>
        <w:tabs>
          <w:tab w:val="num" w:pos="720"/>
        </w:tabs>
        <w:ind w:left="720" w:hanging="360"/>
      </w:pPr>
      <w:rPr>
        <w:rFonts w:ascii="Wingdings" w:hAnsi="Wingdings" w:hint="default"/>
        <w:b/>
        <w:i w:val="0"/>
        <w:color w:val="auto"/>
        <w:sz w:val="22"/>
      </w:rPr>
    </w:lvl>
    <w:lvl w:ilvl="1" w:tplc="04090003">
      <w:start w:val="1"/>
      <w:numFmt w:val="bullet"/>
      <w:lvlText w:val="o"/>
      <w:lvlJc w:val="left"/>
      <w:pPr>
        <w:tabs>
          <w:tab w:val="num" w:pos="-5040"/>
        </w:tabs>
        <w:ind w:left="-5040" w:hanging="360"/>
      </w:pPr>
      <w:rPr>
        <w:rFonts w:ascii="Courier New" w:hAnsi="Courier New" w:cs="Courier New" w:hint="default"/>
      </w:rPr>
    </w:lvl>
    <w:lvl w:ilvl="2" w:tplc="04090005">
      <w:start w:val="1"/>
      <w:numFmt w:val="bullet"/>
      <w:lvlText w:val=""/>
      <w:lvlJc w:val="left"/>
      <w:pPr>
        <w:tabs>
          <w:tab w:val="num" w:pos="-4320"/>
        </w:tabs>
        <w:ind w:left="-432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2160"/>
        </w:tabs>
        <w:ind w:left="-2160" w:hanging="360"/>
      </w:pPr>
      <w:rPr>
        <w:rFonts w:ascii="Wingdings" w:hAnsi="Wingdings" w:hint="default"/>
      </w:rPr>
    </w:lvl>
    <w:lvl w:ilvl="6" w:tplc="04090001" w:tentative="1">
      <w:start w:val="1"/>
      <w:numFmt w:val="bullet"/>
      <w:lvlText w:val=""/>
      <w:lvlJc w:val="left"/>
      <w:pPr>
        <w:tabs>
          <w:tab w:val="num" w:pos="-1440"/>
        </w:tabs>
        <w:ind w:left="-1440" w:hanging="360"/>
      </w:pPr>
      <w:rPr>
        <w:rFonts w:ascii="Symbol" w:hAnsi="Symbol" w:hint="default"/>
      </w:rPr>
    </w:lvl>
    <w:lvl w:ilvl="7" w:tplc="04090003" w:tentative="1">
      <w:start w:val="1"/>
      <w:numFmt w:val="bullet"/>
      <w:lvlText w:val="o"/>
      <w:lvlJc w:val="left"/>
      <w:pPr>
        <w:tabs>
          <w:tab w:val="num" w:pos="-720"/>
        </w:tabs>
        <w:ind w:left="-720" w:hanging="360"/>
      </w:pPr>
      <w:rPr>
        <w:rFonts w:ascii="Courier New" w:hAnsi="Courier New" w:cs="Courier New" w:hint="default"/>
      </w:rPr>
    </w:lvl>
    <w:lvl w:ilvl="8" w:tplc="04090005" w:tentative="1">
      <w:start w:val="1"/>
      <w:numFmt w:val="bullet"/>
      <w:lvlText w:val=""/>
      <w:lvlJc w:val="left"/>
      <w:pPr>
        <w:tabs>
          <w:tab w:val="num" w:pos="0"/>
        </w:tabs>
        <w:ind w:left="0" w:hanging="360"/>
      </w:pPr>
      <w:rPr>
        <w:rFonts w:ascii="Wingdings" w:hAnsi="Wingdings" w:hint="default"/>
      </w:rPr>
    </w:lvl>
  </w:abstractNum>
  <w:abstractNum w:abstractNumId="2"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 w15:restartNumberingAfterBreak="0">
    <w:nsid w:val="23D7213B"/>
    <w:multiLevelType w:val="hybridMultilevel"/>
    <w:tmpl w:val="1A3CE96E"/>
    <w:lvl w:ilvl="0" w:tplc="3A6EF7EE">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120AC8"/>
    <w:multiLevelType w:val="hybridMultilevel"/>
    <w:tmpl w:val="6FB0317A"/>
    <w:lvl w:ilvl="0" w:tplc="DFE60A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35F07766"/>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7"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9"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10" w15:restartNumberingAfterBreak="0">
    <w:nsid w:val="66C968BF"/>
    <w:multiLevelType w:val="hybridMultilevel"/>
    <w:tmpl w:val="54F81302"/>
    <w:lvl w:ilvl="0" w:tplc="49D4C3E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CAB4E0D2"/>
    <w:lvl w:ilvl="0" w:tplc="62FE4644">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8010"/>
        </w:tabs>
        <w:ind w:left="-8010" w:hanging="360"/>
      </w:pPr>
      <w:rPr>
        <w:rFonts w:ascii="Courier New" w:hAnsi="Courier New" w:cs="Courier New" w:hint="default"/>
      </w:rPr>
    </w:lvl>
    <w:lvl w:ilvl="2" w:tplc="04090005">
      <w:start w:val="1"/>
      <w:numFmt w:val="bullet"/>
      <w:lvlText w:val=""/>
      <w:lvlJc w:val="left"/>
      <w:pPr>
        <w:tabs>
          <w:tab w:val="num" w:pos="-7290"/>
        </w:tabs>
        <w:ind w:left="-7290" w:hanging="360"/>
      </w:pPr>
      <w:rPr>
        <w:rFonts w:ascii="Wingdings" w:hAnsi="Wingdings" w:hint="default"/>
      </w:rPr>
    </w:lvl>
    <w:lvl w:ilvl="3" w:tplc="04090001">
      <w:start w:val="1"/>
      <w:numFmt w:val="bullet"/>
      <w:lvlText w:val=""/>
      <w:lvlJc w:val="left"/>
      <w:pPr>
        <w:tabs>
          <w:tab w:val="num" w:pos="-6570"/>
        </w:tabs>
        <w:ind w:left="-6570" w:hanging="360"/>
      </w:pPr>
      <w:rPr>
        <w:rFonts w:ascii="Symbol" w:hAnsi="Symbol" w:hint="default"/>
      </w:rPr>
    </w:lvl>
    <w:lvl w:ilvl="4" w:tplc="04090003" w:tentative="1">
      <w:start w:val="1"/>
      <w:numFmt w:val="bullet"/>
      <w:lvlText w:val="o"/>
      <w:lvlJc w:val="left"/>
      <w:pPr>
        <w:tabs>
          <w:tab w:val="num" w:pos="-5850"/>
        </w:tabs>
        <w:ind w:left="-5850" w:hanging="360"/>
      </w:pPr>
      <w:rPr>
        <w:rFonts w:ascii="Courier New" w:hAnsi="Courier New" w:cs="Courier New" w:hint="default"/>
      </w:rPr>
    </w:lvl>
    <w:lvl w:ilvl="5" w:tplc="04090005" w:tentative="1">
      <w:start w:val="1"/>
      <w:numFmt w:val="bullet"/>
      <w:lvlText w:val=""/>
      <w:lvlJc w:val="left"/>
      <w:pPr>
        <w:tabs>
          <w:tab w:val="num" w:pos="-5130"/>
        </w:tabs>
        <w:ind w:left="-5130" w:hanging="360"/>
      </w:pPr>
      <w:rPr>
        <w:rFonts w:ascii="Wingdings" w:hAnsi="Wingdings" w:hint="default"/>
      </w:rPr>
    </w:lvl>
    <w:lvl w:ilvl="6" w:tplc="04090001" w:tentative="1">
      <w:start w:val="1"/>
      <w:numFmt w:val="bullet"/>
      <w:lvlText w:val=""/>
      <w:lvlJc w:val="left"/>
      <w:pPr>
        <w:tabs>
          <w:tab w:val="num" w:pos="-4410"/>
        </w:tabs>
        <w:ind w:left="-4410" w:hanging="360"/>
      </w:pPr>
      <w:rPr>
        <w:rFonts w:ascii="Symbol" w:hAnsi="Symbol" w:hint="default"/>
      </w:rPr>
    </w:lvl>
    <w:lvl w:ilvl="7" w:tplc="04090003" w:tentative="1">
      <w:start w:val="1"/>
      <w:numFmt w:val="bullet"/>
      <w:lvlText w:val="o"/>
      <w:lvlJc w:val="left"/>
      <w:pPr>
        <w:tabs>
          <w:tab w:val="num" w:pos="-3690"/>
        </w:tabs>
        <w:ind w:left="-3690" w:hanging="360"/>
      </w:pPr>
      <w:rPr>
        <w:rFonts w:ascii="Courier New" w:hAnsi="Courier New" w:cs="Courier New" w:hint="default"/>
      </w:rPr>
    </w:lvl>
    <w:lvl w:ilvl="8" w:tplc="04090005" w:tentative="1">
      <w:start w:val="1"/>
      <w:numFmt w:val="bullet"/>
      <w:lvlText w:val=""/>
      <w:lvlJc w:val="left"/>
      <w:pPr>
        <w:tabs>
          <w:tab w:val="num" w:pos="-2970"/>
        </w:tabs>
        <w:ind w:left="-2970" w:hanging="360"/>
      </w:pPr>
      <w:rPr>
        <w:rFonts w:ascii="Wingdings" w:hAnsi="Wingdings" w:hint="default"/>
      </w:rPr>
    </w:lvl>
  </w:abstractNum>
  <w:abstractNum w:abstractNumId="12" w15:restartNumberingAfterBreak="0">
    <w:nsid w:val="71330E4C"/>
    <w:multiLevelType w:val="hybridMultilevel"/>
    <w:tmpl w:val="06F89AA8"/>
    <w:lvl w:ilvl="0" w:tplc="B27E082E">
      <w:start w:val="8"/>
      <w:numFmt w:val="bullet"/>
      <w:lvlText w:val="-"/>
      <w:lvlJc w:val="left"/>
      <w:pPr>
        <w:ind w:left="450" w:hanging="360"/>
      </w:pPr>
      <w:rPr>
        <w:rFonts w:ascii="Times New Roman" w:eastAsia="Batang" w:hAnsi="Times New Roman" w:cs="Times New Roman" w:hint="default"/>
        <w:b w:val="0"/>
        <w:sz w:val="22"/>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5"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7"/>
  </w:num>
  <w:num w:numId="2">
    <w:abstractNumId w:val="5"/>
  </w:num>
  <w:num w:numId="3">
    <w:abstractNumId w:val="8"/>
  </w:num>
  <w:num w:numId="4">
    <w:abstractNumId w:val="13"/>
  </w:num>
  <w:num w:numId="5">
    <w:abstractNumId w:val="14"/>
  </w:num>
  <w:num w:numId="6">
    <w:abstractNumId w:val="0"/>
  </w:num>
  <w:num w:numId="7">
    <w:abstractNumId w:val="15"/>
  </w:num>
  <w:num w:numId="8">
    <w:abstractNumId w:val="9"/>
  </w:num>
  <w:num w:numId="9">
    <w:abstractNumId w:val="4"/>
  </w:num>
  <w:num w:numId="10">
    <w:abstractNumId w:val="6"/>
  </w:num>
  <w:num w:numId="11">
    <w:abstractNumId w:val="2"/>
  </w:num>
  <w:num w:numId="12">
    <w:abstractNumId w:val="12"/>
  </w:num>
  <w:num w:numId="13">
    <w:abstractNumId w:val="10"/>
  </w:num>
  <w:num w:numId="14">
    <w:abstractNumId w:val="11"/>
  </w:num>
  <w:num w:numId="15">
    <w:abstractNumId w:val="1"/>
  </w:num>
  <w:num w:numId="1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2EF1"/>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6A9"/>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AF5"/>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3"/>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D1C"/>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3E7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150"/>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5EC5"/>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35F"/>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7D7"/>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0B2"/>
    <w:rsid w:val="004415BB"/>
    <w:rsid w:val="004415FC"/>
    <w:rsid w:val="004420F7"/>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04B"/>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53C"/>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9EF"/>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63C"/>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49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AA"/>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AEA"/>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B88"/>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2DEC"/>
    <w:rsid w:val="006937DF"/>
    <w:rsid w:val="00693FB5"/>
    <w:rsid w:val="0069421A"/>
    <w:rsid w:val="006942D0"/>
    <w:rsid w:val="006944C5"/>
    <w:rsid w:val="0069456C"/>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4FC"/>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C8D"/>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7A6"/>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7EF"/>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66E"/>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4A"/>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3DF"/>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999"/>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DE"/>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3"/>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2FE"/>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1E"/>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7B9"/>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2BCF"/>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3CB"/>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4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4B"/>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B3"/>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next w:val="Normal"/>
    <w:rsid w:val="00BC26DE"/>
    <w:pPr>
      <w:widowControl/>
      <w:numPr>
        <w:numId w:val="14"/>
      </w:numPr>
      <w:tabs>
        <w:tab w:val="num" w:pos="1800"/>
      </w:tabs>
      <w:wordWrap/>
      <w:autoSpaceDE/>
      <w:autoSpaceDN/>
      <w:spacing w:before="60"/>
      <w:ind w:left="1800"/>
      <w:jc w:val="left"/>
    </w:pPr>
    <w:rPr>
      <w:rFonts w:ascii="Arial" w:eastAsia="MS Mincho" w:hAnsi="Arial"/>
      <w:b/>
      <w:kern w:val="0"/>
      <w:lang w:val="en-GB" w:eastAsia="en-GB"/>
    </w:rPr>
  </w:style>
  <w:style w:type="character" w:styleId="IntenseEmphasis">
    <w:name w:val="Intense Emphasis"/>
    <w:basedOn w:val="DefaultParagraphFont"/>
    <w:qFormat/>
    <w:rsid w:val="00687B88"/>
    <w:rPr>
      <w:b/>
      <w:bCs/>
      <w:i/>
      <w:iCs/>
      <w:color w:val="4F81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598429">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626538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18731254">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09442605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4.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4.xml><?xml version="1.0" encoding="utf-8"?>
<ds:datastoreItem xmlns:ds="http://schemas.openxmlformats.org/officeDocument/2006/customXml" ds:itemID="{FD6434E7-065A-41E7-BEC3-FDF83E4C53B7}">
  <ds:schemaRefs>
    <ds:schemaRef ds:uri="office.server.policy"/>
  </ds:schemaRefs>
</ds:datastoreItem>
</file>

<file path=customXml/itemProps5.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4D964DC-E3C4-426F-A55D-F769FFB61C6A}">
  <ds:schemaRefs>
    <ds:schemaRef ds:uri="http://schemas.openxmlformats.org/officeDocument/2006/bibliography"/>
  </ds:schemaRefs>
</ds:datastoreItem>
</file>

<file path=customXml/itemProps7.xml><?xml version="1.0" encoding="utf-8"?>
<ds:datastoreItem xmlns:ds="http://schemas.openxmlformats.org/officeDocument/2006/customXml" ds:itemID="{1B8A831D-EB89-453B-AB6A-22E765C0F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1267</TotalTime>
  <Pages>4</Pages>
  <Words>1170</Words>
  <Characters>6669</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7824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41</cp:revision>
  <cp:lastPrinted>2010-08-13T21:54:00Z</cp:lastPrinted>
  <dcterms:created xsi:type="dcterms:W3CDTF">2016-03-22T22:35:00Z</dcterms:created>
  <dcterms:modified xsi:type="dcterms:W3CDTF">2017-02-04T04:48:00Z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4c2f5d8d-864b-41f6-b49e-a6021d065a1a</vt:lpwstr>
  </property>
</Properties>
</file>